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b/>
          <w:bCs/>
          <w:snapToGrid w:val="0"/>
          <w:kern w:val="0"/>
          <w:sz w:val="24"/>
          <w:lang w:val="en-US"/>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w:t>
      </w:r>
      <w:r>
        <w:rPr>
          <w:rFonts w:hint="eastAsia" w:ascii="Arial" w:hAnsi="Arial" w:cs="Arial"/>
          <w:b/>
          <w:bCs/>
          <w:snapToGrid w:val="0"/>
          <w:kern w:val="0"/>
          <w:sz w:val="24"/>
        </w:rPr>
        <w:t>2</w:t>
      </w:r>
      <w:r>
        <w:rPr>
          <w:rFonts w:hint="eastAsia" w:ascii="Arial" w:hAnsi="Arial" w:cs="Arial"/>
          <w:b/>
          <w:bCs/>
          <w:snapToGrid w:val="0"/>
          <w:kern w:val="0"/>
          <w:sz w:val="24"/>
          <w:lang w:val="en-US" w:eastAsia="zh-CN"/>
        </w:rPr>
        <w:t>1bis-e</w:t>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R2-2</w:t>
      </w:r>
      <w:r>
        <w:rPr>
          <w:rFonts w:hint="eastAsia" w:ascii="Arial" w:hAnsi="Arial" w:cs="Arial"/>
          <w:b/>
          <w:bCs/>
          <w:snapToGrid w:val="0"/>
          <w:kern w:val="0"/>
          <w:sz w:val="24"/>
          <w:lang w:val="en-US" w:eastAsia="zh-CN"/>
        </w:rPr>
        <w:t>3</w:t>
      </w:r>
      <w:r>
        <w:rPr>
          <w:rFonts w:hint="eastAsia" w:ascii="Arial" w:hAnsi="Arial" w:cs="Arial"/>
          <w:b/>
          <w:sz w:val="24"/>
          <w:szCs w:val="24"/>
          <w:lang w:val="en-US" w:eastAsia="zh-CN"/>
        </w:rPr>
        <w:t>03141</w:t>
      </w:r>
    </w:p>
    <w:p>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hint="eastAsia" w:ascii="Arial" w:hAnsi="Arial" w:cs="Arial"/>
          <w:b/>
          <w:bCs/>
          <w:kern w:val="0"/>
          <w:sz w:val="24"/>
          <w:lang w:val="en-US" w:eastAsia="zh-CN"/>
        </w:rPr>
        <w:t>Electronic meeting, 17</w:t>
      </w:r>
      <w:r>
        <w:rPr>
          <w:rFonts w:ascii="Arial" w:hAnsi="Arial" w:cs="Arial"/>
          <w:b/>
          <w:bCs/>
          <w:kern w:val="0"/>
          <w:sz w:val="24"/>
          <w:vertAlign w:val="superscript"/>
        </w:rPr>
        <w:t>th</w:t>
      </w:r>
      <w:r>
        <w:rPr>
          <w:rFonts w:hint="eastAsia" w:ascii="Arial" w:hAnsi="Arial" w:cs="Arial"/>
          <w:b/>
          <w:bCs/>
          <w:kern w:val="0"/>
          <w:sz w:val="24"/>
          <w:lang w:val="en-US" w:eastAsia="zh-CN"/>
        </w:rPr>
        <w:t xml:space="preserve"> </w:t>
      </w:r>
      <w:r>
        <w:rPr>
          <w:rFonts w:ascii="Arial" w:hAnsi="Arial" w:cs="Arial"/>
          <w:b/>
          <w:bCs/>
          <w:kern w:val="0"/>
          <w:sz w:val="24"/>
        </w:rPr>
        <w:t xml:space="preserve">– </w:t>
      </w:r>
      <w:r>
        <w:rPr>
          <w:rFonts w:hint="eastAsia" w:ascii="Arial" w:hAnsi="Arial" w:cs="Arial"/>
          <w:b/>
          <w:bCs/>
          <w:kern w:val="0"/>
          <w:sz w:val="24"/>
          <w:lang w:val="en-US" w:eastAsia="zh-CN"/>
        </w:rPr>
        <w:t>26</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w:t>
      </w:r>
      <w:r>
        <w:rPr>
          <w:rFonts w:ascii="Arial" w:hAnsi="Arial" w:cs="Arial"/>
          <w:b/>
          <w:bCs/>
          <w:kern w:val="0"/>
          <w:sz w:val="24"/>
        </w:rPr>
        <w:t xml:space="preserve"> </w:t>
      </w:r>
      <w:r>
        <w:rPr>
          <w:rFonts w:hint="eastAsia" w:ascii="Arial" w:hAnsi="Arial" w:cs="Arial"/>
          <w:b/>
          <w:bCs/>
          <w:kern w:val="0"/>
          <w:sz w:val="24"/>
          <w:lang w:val="en-US" w:eastAsia="zh-CN"/>
        </w:rPr>
        <w:t xml:space="preserve">April </w:t>
      </w:r>
      <w:r>
        <w:rPr>
          <w:rFonts w:ascii="Arial" w:hAnsi="Arial" w:cs="Arial"/>
          <w:b/>
          <w:bCs/>
          <w:kern w:val="0"/>
          <w:sz w:val="24"/>
        </w:rPr>
        <w:t>202</w:t>
      </w:r>
      <w:r>
        <w:rPr>
          <w:rFonts w:hint="eastAsia" w:ascii="Arial" w:hAnsi="Arial" w:cs="Arial"/>
          <w:b/>
          <w:bCs/>
          <w:kern w:val="0"/>
          <w:sz w:val="24"/>
          <w:lang w:val="en-US" w:eastAsia="zh-CN"/>
        </w:rPr>
        <w:t>3</w:t>
      </w:r>
      <w:r>
        <w:rPr>
          <w:rFonts w:ascii="Arial" w:hAnsi="Arial" w:cs="Arial"/>
          <w:b/>
          <w:bCs/>
          <w:kern w:val="0"/>
          <w:sz w:val="24"/>
          <w:lang w:val="en-GB"/>
        </w:rPr>
        <w:t xml:space="preserve">             </w:t>
      </w:r>
      <w:r>
        <w:rPr>
          <w:rFonts w:hint="eastAsia" w:ascii="Arial" w:hAnsi="Arial" w:cs="Arial"/>
          <w:b/>
          <w:bCs/>
          <w:kern w:val="0"/>
          <w:sz w:val="24"/>
          <w:lang w:val="en-US" w:eastAsia="zh-CN"/>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Consideration </w:t>
      </w:r>
      <w:r>
        <w:rPr>
          <w:rFonts w:ascii="Arial" w:hAnsi="Arial" w:cs="Arial"/>
          <w:b/>
          <w:bCs/>
          <w:snapToGrid w:val="0"/>
          <w:kern w:val="0"/>
          <w:sz w:val="24"/>
        </w:rPr>
        <w:t>on</w:t>
      </w:r>
      <w:r>
        <w:rPr>
          <w:rFonts w:hint="eastAsia" w:ascii="Arial" w:hAnsi="Arial" w:cs="Arial"/>
          <w:b/>
          <w:bCs/>
          <w:snapToGrid w:val="0"/>
          <w:kern w:val="0"/>
          <w:sz w:val="24"/>
          <w:lang w:val="en-US" w:eastAsia="zh-CN"/>
        </w:rPr>
        <w:t xml:space="preserve"> </w:t>
      </w:r>
      <w:r>
        <w:rPr>
          <w:rFonts w:hint="eastAsia" w:ascii="Arial" w:hAnsi="Arial" w:cs="Arial"/>
          <w:b/>
          <w:bCs/>
          <w:snapToGrid w:val="0"/>
          <w:kern w:val="0"/>
          <w:sz w:val="24"/>
        </w:rPr>
        <w:t>HO</w:t>
      </w:r>
      <w:r>
        <w:rPr>
          <w:rFonts w:hint="eastAsia" w:ascii="Arial" w:hAnsi="Arial" w:cs="Arial"/>
          <w:b/>
          <w:bCs/>
          <w:snapToGrid w:val="0"/>
          <w:kern w:val="0"/>
          <w:sz w:val="24"/>
          <w:lang w:val="en-US" w:eastAsia="zh-CN"/>
        </w:rPr>
        <w:t xml:space="preserve"> enhancements</w:t>
      </w:r>
      <w:r>
        <w:rPr>
          <w:rFonts w:hint="eastAsia" w:ascii="Arial" w:hAnsi="Arial" w:cs="Arial"/>
          <w:b/>
          <w:bCs/>
          <w:snapToGrid w:val="0"/>
          <w:kern w:val="0"/>
          <w:sz w:val="24"/>
        </w:rPr>
        <w:t xml:space="preserve"> in NTN</w:t>
      </w:r>
    </w:p>
    <w:p>
      <w:pPr>
        <w:overflowPunct w:val="0"/>
        <w:autoSpaceDE w:val="0"/>
        <w:autoSpaceDN w:val="0"/>
        <w:adjustRightInd w:val="0"/>
        <w:snapToGrid w:val="0"/>
        <w:spacing w:line="240" w:lineRule="auto"/>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7</w:t>
      </w:r>
      <w:r>
        <w:rPr>
          <w:rFonts w:ascii="Arial" w:hAnsi="Arial" w:cs="Arial"/>
          <w:b/>
          <w:bCs/>
          <w:snapToGrid w:val="0"/>
          <w:kern w:val="0"/>
          <w:sz w:val="24"/>
        </w:rPr>
        <w:t>.7.4</w:t>
      </w:r>
      <w:r>
        <w:rPr>
          <w:rFonts w:hint="eastAsia" w:ascii="Arial" w:hAnsi="Arial" w:cs="Arial"/>
          <w:b/>
          <w:bCs/>
          <w:snapToGrid w:val="0"/>
          <w:kern w:val="0"/>
          <w:sz w:val="24"/>
        </w:rPr>
        <w:t>.</w:t>
      </w:r>
      <w:r>
        <w:rPr>
          <w:rFonts w:hint="eastAsia" w:ascii="Arial" w:hAnsi="Arial" w:cs="Arial"/>
          <w:b/>
          <w:bCs/>
          <w:snapToGrid w:val="0"/>
          <w:kern w:val="0"/>
          <w:sz w:val="24"/>
          <w:lang w:val="en-US" w:eastAsia="zh-CN"/>
        </w:rPr>
        <w:t>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rFonts w:hint="default" w:ascii="Times New Roman" w:hAnsi="Times New Roman" w:cs="Times New Roman" w:eastAsiaTheme="minorEastAsia"/>
          <w:bCs/>
          <w:kern w:val="0"/>
          <w:sz w:val="20"/>
          <w:szCs w:val="20"/>
          <w:lang w:val="en-US" w:eastAsia="zh-CN"/>
        </w:rPr>
      </w:pPr>
      <w:bookmarkStart w:id="2" w:name="_Toc12718547"/>
      <w:r>
        <w:rPr>
          <w:rFonts w:hint="default" w:ascii="Times New Roman" w:hAnsi="Times New Roman" w:cs="Times New Roman"/>
          <w:bCs/>
          <w:kern w:val="0"/>
          <w:sz w:val="20"/>
          <w:szCs w:val="20"/>
        </w:rPr>
        <w:t>In this paper,</w:t>
      </w:r>
      <w:r>
        <w:rPr>
          <w:rFonts w:hint="eastAsia" w:cs="Times New Roman"/>
          <w:bCs/>
          <w:kern w:val="0"/>
          <w:sz w:val="20"/>
          <w:szCs w:val="20"/>
          <w:lang w:val="en-US" w:eastAsia="zh-CN"/>
        </w:rPr>
        <w:t xml:space="preserve"> miscellaneous HO</w:t>
      </w:r>
      <w:r>
        <w:rPr>
          <w:rFonts w:hint="default" w:ascii="Times New Roman" w:hAnsi="Times New Roman" w:cs="Times New Roman"/>
          <w:bCs/>
          <w:kern w:val="0"/>
          <w:sz w:val="20"/>
          <w:szCs w:val="20"/>
        </w:rPr>
        <w:t xml:space="preserve"> enhancements </w:t>
      </w:r>
      <w:r>
        <w:rPr>
          <w:rFonts w:hint="default" w:ascii="Times New Roman" w:hAnsi="Times New Roman" w:cs="Times New Roman"/>
          <w:bCs/>
          <w:kern w:val="0"/>
          <w:sz w:val="20"/>
          <w:szCs w:val="20"/>
          <w:lang w:val="en-US" w:eastAsia="zh-CN"/>
        </w:rPr>
        <w:t>for</w:t>
      </w:r>
      <w:r>
        <w:rPr>
          <w:rFonts w:hint="default" w:ascii="Times New Roman" w:hAnsi="Times New Roman" w:cs="Times New Roman"/>
          <w:bCs/>
          <w:kern w:val="0"/>
          <w:sz w:val="20"/>
          <w:szCs w:val="20"/>
        </w:rPr>
        <w:t xml:space="preserve"> intra-NTN handover are discussed</w:t>
      </w:r>
      <w:r>
        <w:rPr>
          <w:rFonts w:hint="eastAsia" w:cs="Times New Roman"/>
          <w:bCs/>
          <w:kern w:val="0"/>
          <w:sz w:val="20"/>
          <w:szCs w:val="20"/>
          <w:lang w:val="en-US" w:eastAsia="zh-CN"/>
        </w:rPr>
        <w:t xml:space="preserve"> </w:t>
      </w:r>
      <w:r>
        <w:rPr>
          <w:rFonts w:hint="default" w:ascii="Times New Roman" w:hAnsi="Times New Roman" w:cs="Times New Roman"/>
          <w:bCs/>
          <w:kern w:val="0"/>
          <w:sz w:val="20"/>
          <w:szCs w:val="20"/>
          <w:lang w:val="en-US" w:eastAsia="zh-CN"/>
        </w:rPr>
        <w:t xml:space="preserve">considering the </w:t>
      </w:r>
      <w:r>
        <w:rPr>
          <w:rFonts w:hint="eastAsia" w:cs="Times New Roman"/>
          <w:bCs/>
          <w:kern w:val="0"/>
          <w:sz w:val="20"/>
          <w:szCs w:val="20"/>
          <w:lang w:val="en-US" w:eastAsia="zh-CN"/>
        </w:rPr>
        <w:t xml:space="preserve">latest agreements made in RAN2#121. </w:t>
      </w:r>
      <w:r>
        <w:rPr>
          <w:rFonts w:hint="default" w:ascii="Times New Roman" w:hAnsi="Times New Roman" w:cs="Times New Roman"/>
          <w:bCs/>
          <w:kern w:val="0"/>
          <w:sz w:val="20"/>
          <w:szCs w:val="20"/>
          <w:lang w:val="en-US" w:eastAsia="zh-CN"/>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pStyle w:val="3"/>
        <w:numPr>
          <w:ilvl w:val="1"/>
          <w:numId w:val="3"/>
        </w:numPr>
        <w:rPr>
          <w:rFonts w:hint="default" w:ascii="Times New Roman" w:hAnsi="Times New Roman" w:cs="Times New Roman"/>
          <w:b w:val="0"/>
          <w:bCs w:val="0"/>
          <w:lang w:val="en-US" w:eastAsia="zh-CN"/>
        </w:rPr>
      </w:pPr>
      <w:bookmarkStart w:id="3" w:name="OLE_LINK2"/>
      <w:r>
        <w:rPr>
          <w:rFonts w:hint="eastAsia" w:ascii="Times New Roman" w:hAnsi="Times New Roman" w:cs="Times New Roman"/>
          <w:b w:val="0"/>
          <w:bCs w:val="0"/>
          <w:lang w:val="en-US" w:eastAsia="zh-CN"/>
        </w:rPr>
        <w:t xml:space="preserve">Signalling overhead reduction </w:t>
      </w:r>
    </w:p>
    <w:tbl>
      <w:tblPr>
        <w:tblStyle w:val="57"/>
        <w:tblW w:w="0" w:type="auto"/>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0" w:type="dxa"/>
          </w:tcPr>
          <w:p>
            <w:pPr>
              <w:keepNext w:val="0"/>
              <w:keepLines w:val="0"/>
              <w:numPr>
                <w:ilvl w:val="0"/>
                <w:numId w:val="0"/>
              </w:numPr>
              <w:suppressLineNumbers w:val="0"/>
              <w:spacing w:before="0" w:beforeAutospacing="0" w:afterAutospacing="0" w:line="240" w:lineRule="auto"/>
              <w:ind w:left="0" w:leftChars="0" w:right="0"/>
              <w:jc w:val="left"/>
              <w:rPr>
                <w:rFonts w:hint="eastAsia" w:cs="Times New Roman"/>
                <w:bCs/>
                <w:kern w:val="0"/>
                <w:sz w:val="20"/>
                <w:szCs w:val="20"/>
                <w:lang w:val="en-US" w:eastAsia="zh-CN"/>
              </w:rPr>
            </w:pPr>
            <w:r>
              <w:rPr>
                <w:rFonts w:hint="eastAsia" w:cs="Times New Roman"/>
                <w:bCs/>
                <w:kern w:val="0"/>
                <w:sz w:val="20"/>
                <w:szCs w:val="20"/>
                <w:lang w:val="en-US" w:eastAsia="zh-CN"/>
              </w:rPr>
              <w:t>Agreements RAN2#121</w:t>
            </w:r>
          </w:p>
          <w:p>
            <w:pPr>
              <w:keepNext w:val="0"/>
              <w:keepLines w:val="0"/>
              <w:numPr>
                <w:ilvl w:val="0"/>
                <w:numId w:val="4"/>
              </w:numPr>
              <w:suppressLineNumbers w:val="0"/>
              <w:spacing w:before="0" w:beforeAutospacing="0" w:afterAutospacing="0" w:line="240" w:lineRule="auto"/>
              <w:ind w:left="0" w:leftChars="0" w:right="0"/>
              <w:jc w:val="left"/>
              <w:rPr>
                <w:rFonts w:hint="default" w:cs="Times New Roman"/>
                <w:bCs/>
                <w:kern w:val="0"/>
                <w:sz w:val="20"/>
                <w:szCs w:val="20"/>
                <w:lang w:val="en-US" w:eastAsia="zh-CN"/>
              </w:rPr>
            </w:pPr>
            <w:r>
              <w:rPr>
                <w:rFonts w:hint="default" w:cs="Times New Roman"/>
                <w:bCs/>
                <w:kern w:val="0"/>
                <w:sz w:val="20"/>
                <w:szCs w:val="20"/>
                <w:lang w:val="en-US" w:eastAsia="zh-CN"/>
              </w:rPr>
              <w:t>Continue in the next meeting, to show the possible signalling gain of the proposal to have some common (C)HO configuration. FFS the number of cells that could be signalled. FFS whether broadcast or groupcast signalling could be used.</w:t>
            </w:r>
          </w:p>
          <w:p>
            <w:pPr>
              <w:keepNext w:val="0"/>
              <w:keepLines w:val="0"/>
              <w:numPr>
                <w:ilvl w:val="0"/>
                <w:numId w:val="4"/>
              </w:numPr>
              <w:suppressLineNumbers w:val="0"/>
              <w:spacing w:before="0" w:beforeAutospacing="0" w:afterAutospacing="0" w:line="240" w:lineRule="auto"/>
              <w:ind w:left="0" w:leftChars="0" w:right="0" w:firstLine="0" w:firstLineChars="0"/>
              <w:jc w:val="left"/>
              <w:rPr>
                <w:rFonts w:hint="default" w:cs="Times New Roman"/>
                <w:bCs/>
                <w:kern w:val="0"/>
                <w:sz w:val="20"/>
                <w:szCs w:val="20"/>
                <w:lang w:val="en-US" w:eastAsia="zh-CN"/>
              </w:rPr>
            </w:pPr>
            <w:r>
              <w:rPr>
                <w:rFonts w:hint="default" w:cs="Times New Roman"/>
                <w:bCs/>
                <w:kern w:val="0"/>
                <w:sz w:val="20"/>
                <w:szCs w:val="20"/>
                <w:lang w:val="en-US" w:eastAsia="zh-CN"/>
              </w:rPr>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tc>
      </w:tr>
    </w:tbl>
    <w:p>
      <w:pPr>
        <w:rPr>
          <w:rFonts w:hint="default"/>
          <w:lang w:val="en-US" w:eastAsia="zh-CN"/>
        </w:rPr>
      </w:pPr>
    </w:p>
    <w:p>
      <w:pPr>
        <w:numPr>
          <w:ilvl w:val="0"/>
          <w:numId w:val="5"/>
        </w:numPr>
        <w:bidi w:val="0"/>
        <w:rPr>
          <w:b/>
          <w:bCs/>
        </w:rPr>
      </w:pPr>
      <w:r>
        <w:rPr>
          <w:rFonts w:hint="eastAsia"/>
          <w:b/>
          <w:bCs/>
          <w:lang w:val="en-US" w:eastAsia="zh-CN"/>
        </w:rPr>
        <w:t>On group-based mobility</w:t>
      </w:r>
    </w:p>
    <w:p>
      <w:pPr>
        <w:numPr>
          <w:ilvl w:val="0"/>
          <w:numId w:val="0"/>
        </w:numPr>
        <w:bidi w:val="0"/>
        <w:ind w:leftChars="0"/>
        <w:rPr>
          <w:rFonts w:hint="eastAsia"/>
          <w:b w:val="0"/>
          <w:bCs w:val="0"/>
          <w:lang w:val="en-US" w:eastAsia="zh-CN"/>
        </w:rPr>
      </w:pPr>
      <w:r>
        <w:rPr>
          <w:rFonts w:hint="eastAsia"/>
          <w:b w:val="0"/>
          <w:bCs w:val="0"/>
          <w:lang w:val="en-US" w:eastAsia="zh-CN"/>
        </w:rPr>
        <w:t>There are two parts relevant to group -based signalling, one is to use common signalling to providing (C)HO configurations, another is to use group-based HO command to trigger HO. For CHO since the HO execution is done by evaluating the configuration received, only first part is needed to be considered.</w:t>
      </w:r>
    </w:p>
    <w:p>
      <w:pPr>
        <w:numPr>
          <w:ilvl w:val="0"/>
          <w:numId w:val="0"/>
        </w:numPr>
        <w:bidi w:val="0"/>
        <w:ind w:leftChars="0"/>
        <w:rPr>
          <w:rFonts w:hint="default"/>
          <w:b/>
          <w:bCs/>
          <w:u w:val="single"/>
          <w:lang w:val="en-US" w:eastAsia="zh-CN"/>
        </w:rPr>
      </w:pPr>
      <w:bookmarkStart w:id="4" w:name="OLE_LINK3"/>
      <w:r>
        <w:rPr>
          <w:rFonts w:hint="eastAsia"/>
          <w:b/>
          <w:bCs/>
          <w:u w:val="single"/>
          <w:lang w:val="en-US" w:eastAsia="zh-CN"/>
        </w:rPr>
        <w:t>On common signalling to provide (C)HO configuration</w:t>
      </w:r>
    </w:p>
    <w:bookmarkEnd w:id="4"/>
    <w:p>
      <w:pPr>
        <w:numPr>
          <w:ilvl w:val="0"/>
          <w:numId w:val="0"/>
        </w:numPr>
        <w:bidi w:val="0"/>
        <w:ind w:leftChars="0"/>
        <w:rPr>
          <w:rFonts w:hint="eastAsia"/>
          <w:lang w:val="en-US" w:eastAsia="zh-CN"/>
        </w:rPr>
      </w:pPr>
      <w:r>
        <w:rPr>
          <w:rFonts w:hint="eastAsia"/>
          <w:lang w:val="en-US" w:eastAsia="zh-CN"/>
        </w:rPr>
        <w:t xml:space="preserve">Common C(HO) configuration have been discussed for several meetings while no consensus have been made, and the main concerns are the actual gain can be achieved. In our understanding the main target scenarios for this enhancement is quasi-fixed scenarios, where the HOs is caused due to switch of satellites, and since UEs are served by the same satellite, the neighboring cells will be most likely the same. In this case common signalling can be used to avoid repeat the same common cell configurations to UEs. </w:t>
      </w:r>
    </w:p>
    <w:p>
      <w:pPr>
        <w:bidi w:val="0"/>
        <w:rPr>
          <w:rFonts w:hint="eastAsia"/>
          <w:b/>
          <w:bCs/>
          <w:lang w:val="en-US" w:eastAsia="zh-CN"/>
        </w:rPr>
      </w:pPr>
      <w:r>
        <w:rPr>
          <w:rFonts w:hint="eastAsia"/>
          <w:b/>
          <w:bCs/>
          <w:lang w:val="en-US" w:eastAsia="zh-CN"/>
        </w:rPr>
        <w:t>Observation 1: For UE serves by the same satellite the neighboring cells will be most likely the same, therefore using common signalling can reduce the overhead to repeat the same configurations, e.g. the common cell configurations that are shared among UEs.</w:t>
      </w:r>
    </w:p>
    <w:p>
      <w:pPr>
        <w:bidi w:val="0"/>
        <w:rPr>
          <w:rFonts w:hint="default"/>
          <w:lang w:val="en-US" w:eastAsia="zh-CN"/>
        </w:rPr>
      </w:pPr>
      <w:r>
        <w:rPr>
          <w:rFonts w:hint="eastAsia"/>
          <w:b w:val="0"/>
          <w:bCs w:val="0"/>
          <w:lang w:val="en-US" w:eastAsia="zh-CN"/>
        </w:rPr>
        <w:t xml:space="preserve">In NTN since the neighboring cells are limited, the same set of candidate cells can be configured for UE served by the same satellite, and there is no need to further divide UEs into different groups. In this case, </w:t>
      </w:r>
      <w:r>
        <w:rPr>
          <w:rFonts w:hint="eastAsia"/>
          <w:lang w:val="en-US" w:eastAsia="zh-CN"/>
        </w:rPr>
        <w:t>at least for the common part of neighboring cells, e.g., servingCellCommon, configuration of candidate cells(e.g., time and reference location threshold associated to the same candidate) can be broadcast to UEs.</w:t>
      </w:r>
    </w:p>
    <w:p>
      <w:pPr>
        <w:bidi w:val="0"/>
        <w:rPr>
          <w:rFonts w:hint="eastAsia"/>
          <w:b/>
          <w:bCs/>
          <w:lang w:val="en-US" w:eastAsia="zh-CN"/>
        </w:rPr>
      </w:pPr>
      <w:r>
        <w:rPr>
          <w:rFonts w:hint="eastAsia"/>
          <w:b/>
          <w:bCs/>
          <w:lang w:val="en-US" w:eastAsia="zh-CN"/>
        </w:rPr>
        <w:t xml:space="preserve">Observation 2: The NTN neighboring cells are limited which makes it possible to broadcast to UEs served by the same serving cells with the same set of candidate cells without further divisions. </w:t>
      </w:r>
    </w:p>
    <w:p>
      <w:pPr>
        <w:bidi w:val="0"/>
        <w:rPr>
          <w:rFonts w:hint="default"/>
          <w:b w:val="0"/>
          <w:bCs w:val="0"/>
          <w:lang w:val="en-US" w:eastAsia="zh-CN"/>
        </w:rPr>
      </w:pPr>
      <w:r>
        <w:rPr>
          <w:rFonts w:hint="eastAsia"/>
          <w:b w:val="0"/>
          <w:bCs w:val="0"/>
          <w:lang w:val="en-US" w:eastAsia="zh-CN"/>
        </w:rPr>
        <w:t>On top of the broadcast configurations, dedicated signalling should still be allowed for NW to adjust/modify the (C)HO configuration in system information to meet UE</w:t>
      </w:r>
      <w:r>
        <w:rPr>
          <w:rFonts w:hint="default"/>
          <w:b w:val="0"/>
          <w:bCs w:val="0"/>
          <w:lang w:val="en-US" w:eastAsia="zh-CN"/>
        </w:rPr>
        <w:t>’</w:t>
      </w:r>
      <w:r>
        <w:rPr>
          <w:rFonts w:hint="eastAsia"/>
          <w:b w:val="0"/>
          <w:bCs w:val="0"/>
          <w:lang w:val="en-US" w:eastAsia="zh-CN"/>
        </w:rPr>
        <w:t xml:space="preserve">s specific needs. For example, some UE -specifc information (e.g. C-RNTI, contention free resource ) might need to be configured for the (C)HO procedure. </w:t>
      </w:r>
    </w:p>
    <w:p>
      <w:pPr>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Observation </w:t>
      </w:r>
      <w:r>
        <w:rPr>
          <w:rFonts w:hint="eastAsia" w:cs="Times New Roman"/>
          <w:b/>
          <w:bCs/>
          <w:sz w:val="20"/>
          <w:szCs w:val="20"/>
          <w:lang w:val="en-US" w:eastAsia="zh-CN"/>
        </w:rPr>
        <w:t>3</w:t>
      </w:r>
      <w:r>
        <w:rPr>
          <w:rFonts w:hint="eastAsia" w:ascii="Times New Roman" w:hAnsi="Times New Roman" w:cs="Times New Roman"/>
          <w:b/>
          <w:bCs/>
          <w:sz w:val="20"/>
          <w:szCs w:val="20"/>
          <w:lang w:val="en-US" w:eastAsia="zh-CN"/>
        </w:rPr>
        <w:t xml:space="preserve">: Dedicated signalling is helpful for provide or update </w:t>
      </w:r>
      <w:r>
        <w:rPr>
          <w:rFonts w:hint="eastAsia" w:cs="Times New Roman"/>
          <w:b/>
          <w:bCs/>
          <w:sz w:val="20"/>
          <w:szCs w:val="20"/>
          <w:lang w:val="en-US" w:eastAsia="zh-CN"/>
        </w:rPr>
        <w:t>(C)HO</w:t>
      </w:r>
      <w:r>
        <w:rPr>
          <w:rFonts w:hint="eastAsia" w:ascii="Times New Roman" w:hAnsi="Times New Roman" w:cs="Times New Roman"/>
          <w:b/>
          <w:bCs/>
          <w:sz w:val="20"/>
          <w:szCs w:val="20"/>
          <w:lang w:val="en-US" w:eastAsia="zh-CN"/>
        </w:rPr>
        <w:t xml:space="preserve"> configuration </w:t>
      </w:r>
      <w:r>
        <w:rPr>
          <w:rFonts w:hint="eastAsia" w:cs="Times New Roman"/>
          <w:b/>
          <w:bCs/>
          <w:sz w:val="20"/>
          <w:szCs w:val="20"/>
          <w:lang w:val="en-US" w:eastAsia="zh-CN"/>
        </w:rPr>
        <w:t xml:space="preserve">broadcast </w:t>
      </w:r>
      <w:r>
        <w:rPr>
          <w:rFonts w:hint="eastAsia" w:ascii="Times New Roman" w:hAnsi="Times New Roman" w:cs="Times New Roman"/>
          <w:b/>
          <w:bCs/>
          <w:sz w:val="20"/>
          <w:szCs w:val="20"/>
          <w:lang w:val="en-US" w:eastAsia="zh-CN"/>
        </w:rPr>
        <w:t xml:space="preserve">to provide UE specific configuration (e.g., </w:t>
      </w:r>
      <w:r>
        <w:rPr>
          <w:rFonts w:hint="eastAsia" w:cs="Times New Roman"/>
          <w:b/>
          <w:bCs/>
          <w:sz w:val="20"/>
          <w:szCs w:val="20"/>
          <w:lang w:val="en-US" w:eastAsia="zh-CN"/>
        </w:rPr>
        <w:t xml:space="preserve">security keys, or </w:t>
      </w:r>
      <w:r>
        <w:rPr>
          <w:rFonts w:hint="eastAsia" w:ascii="Times New Roman" w:hAnsi="Times New Roman" w:cs="Times New Roman"/>
          <w:b/>
          <w:bCs/>
          <w:sz w:val="20"/>
          <w:szCs w:val="20"/>
          <w:lang w:val="en-US" w:eastAsia="zh-CN"/>
        </w:rPr>
        <w:t>contention free resource).</w:t>
      </w:r>
    </w:p>
    <w:p>
      <w:pPr>
        <w:bidi w:val="0"/>
        <w:rPr>
          <w:rFonts w:hint="eastAsia"/>
          <w:b/>
          <w:bCs/>
          <w:lang w:val="en-US" w:eastAsia="zh-CN"/>
        </w:rPr>
      </w:pPr>
      <w:r>
        <w:rPr>
          <w:rFonts w:hint="eastAsia"/>
          <w:lang w:val="en-US" w:eastAsia="zh-CN"/>
        </w:rPr>
        <w:t>To avoid impact to legacy UEs, a new SIB can be introduced for broadcast the common (C)HO configurations.</w:t>
      </w:r>
    </w:p>
    <w:p>
      <w:pPr>
        <w:bidi w:val="0"/>
        <w:rPr>
          <w:rFonts w:hint="eastAsia"/>
          <w:b/>
          <w:bCs/>
          <w:lang w:val="en-US" w:eastAsia="zh-CN"/>
        </w:rPr>
      </w:pPr>
      <w:r>
        <w:rPr>
          <w:rFonts w:hint="eastAsia"/>
          <w:b/>
          <w:bCs/>
          <w:lang w:val="en-US" w:eastAsia="zh-CN"/>
        </w:rPr>
        <w:t>Observation 4: Use new SIB for provide common CHO configuration can avoid impact on legacy UEs.</w:t>
      </w:r>
    </w:p>
    <w:p>
      <w:pPr>
        <w:bidi w:val="0"/>
        <w:rPr>
          <w:rFonts w:hint="default"/>
          <w:b w:val="0"/>
          <w:bCs w:val="0"/>
          <w:lang w:val="en-US" w:eastAsia="zh-CN"/>
        </w:rPr>
      </w:pPr>
      <w:r>
        <w:rPr>
          <w:rFonts w:hint="eastAsia"/>
          <w:b w:val="0"/>
          <w:bCs w:val="0"/>
          <w:lang w:val="en-US" w:eastAsia="zh-CN"/>
        </w:rPr>
        <w:t>Based on above, below proposals are given:</w:t>
      </w:r>
    </w:p>
    <w:p>
      <w:pPr>
        <w:rPr>
          <w:rFonts w:hint="default" w:cs="Times New Roman"/>
          <w:b/>
          <w:bCs/>
          <w:sz w:val="20"/>
          <w:szCs w:val="20"/>
          <w:lang w:val="en-US" w:eastAsia="zh-CN"/>
        </w:rPr>
      </w:pPr>
      <w:r>
        <w:rPr>
          <w:rFonts w:hint="eastAsia"/>
          <w:b/>
          <w:bCs/>
          <w:lang w:val="en-US" w:eastAsia="zh-CN"/>
        </w:rPr>
        <w:t xml:space="preserve">Proposal 1: A new SIB is introduced </w:t>
      </w:r>
      <w:r>
        <w:rPr>
          <w:rFonts w:hint="eastAsia" w:cs="Times New Roman"/>
          <w:b/>
          <w:bCs/>
          <w:sz w:val="20"/>
          <w:szCs w:val="20"/>
          <w:lang w:val="en-US" w:eastAsia="zh-CN"/>
        </w:rPr>
        <w:t>to broadcast common (C)HO configurations.</w:t>
      </w:r>
    </w:p>
    <w:p>
      <w:pPr>
        <w:rPr>
          <w:rFonts w:hint="eastAsia" w:cs="Times New Roman"/>
          <w:b/>
          <w:bCs/>
          <w:sz w:val="20"/>
          <w:szCs w:val="20"/>
          <w:lang w:val="en-US" w:eastAsia="zh-CN"/>
        </w:rPr>
      </w:pPr>
      <w:r>
        <w:rPr>
          <w:rFonts w:hint="eastAsia" w:cs="Times New Roman"/>
          <w:b/>
          <w:bCs/>
          <w:sz w:val="20"/>
          <w:szCs w:val="20"/>
          <w:lang w:val="en-US" w:eastAsia="zh-CN"/>
        </w:rPr>
        <w:t>Proposal 2: Dedicated RRC signalling can be used to modify or release the (C)HO configuration provided in system information.</w:t>
      </w:r>
    </w:p>
    <w:p>
      <w:pPr>
        <w:numPr>
          <w:ilvl w:val="0"/>
          <w:numId w:val="0"/>
        </w:numPr>
        <w:bidi w:val="0"/>
        <w:ind w:leftChars="0"/>
        <w:rPr>
          <w:rFonts w:hint="default"/>
          <w:b/>
          <w:bCs/>
          <w:u w:val="single"/>
          <w:lang w:val="en-US" w:eastAsia="zh-CN"/>
        </w:rPr>
      </w:pPr>
      <w:r>
        <w:rPr>
          <w:rFonts w:hint="eastAsia"/>
          <w:b/>
          <w:bCs/>
          <w:u w:val="single"/>
          <w:lang w:val="en-US" w:eastAsia="zh-CN"/>
        </w:rPr>
        <w:t xml:space="preserve">On group-based HO command </w:t>
      </w:r>
    </w:p>
    <w:p>
      <w:pPr>
        <w:bidi w:val="0"/>
        <w:rPr>
          <w:rFonts w:hint="eastAsia"/>
          <w:b w:val="0"/>
          <w:bCs w:val="0"/>
          <w:lang w:val="en-US" w:eastAsia="zh-CN"/>
        </w:rPr>
      </w:pPr>
      <w:r>
        <w:rPr>
          <w:rFonts w:hint="eastAsia"/>
          <w:b w:val="0"/>
          <w:bCs w:val="0"/>
          <w:lang w:val="en-US" w:eastAsia="zh-CN"/>
        </w:rPr>
        <w:t>As for CHO, since the candidate cells are the same, while the rest of configuration provided by RRCReconfiguration are the UE-specifc, there is no need to introduce additional group-cast signalling. While for HOs, since UE may need to assigned with different target cells among all the neighboring cells broadcast, either dedicated or group-based HO command may be used to trigger UE to handover to targets.</w:t>
      </w:r>
    </w:p>
    <w:p>
      <w:pPr>
        <w:bidi w:val="0"/>
        <w:rPr>
          <w:rFonts w:hint="default"/>
          <w:b w:val="0"/>
          <w:bCs w:val="0"/>
          <w:lang w:val="en-US" w:eastAsia="zh-CN"/>
        </w:rPr>
      </w:pPr>
      <w:r>
        <w:rPr>
          <w:rFonts w:hint="eastAsia"/>
          <w:b w:val="0"/>
          <w:bCs w:val="0"/>
          <w:lang w:val="en-US" w:eastAsia="zh-CN"/>
        </w:rPr>
        <w:t>In case group-based HO command is used, dedicated configuration is still needed to provide UE with UE-specific parameters the total signalling size is the same, but the difference is whether it is carried by separate dedicated RRC messages or in one common message. If fgroup-based HO command is used RAN2 may need more time to discuss the additional issues (e.g., RACH congestion, common signalling design, RNTI to be used) while the gain is not so obvious.</w:t>
      </w:r>
    </w:p>
    <w:p>
      <w:pPr>
        <w:bidi w:val="0"/>
        <w:rPr>
          <w:rFonts w:hint="default"/>
          <w:b/>
          <w:bCs/>
          <w:lang w:val="en-US" w:eastAsia="zh-CN"/>
        </w:rPr>
      </w:pPr>
      <w:r>
        <w:rPr>
          <w:rFonts w:hint="eastAsia"/>
          <w:b/>
          <w:bCs/>
          <w:lang w:val="en-US" w:eastAsia="zh-CN"/>
        </w:rPr>
        <w:t>Observation 5: Dedicated configuration are still needed regardless it is included in separate dedicated RRC messages or in one common message, therefore the overall signalling overhead is still similar, while extra specs work and discussion will be needed to address additional issues (e.g., RACH congestion, common RNTI design and etc.)</w:t>
      </w:r>
    </w:p>
    <w:p>
      <w:pPr>
        <w:rPr>
          <w:rFonts w:hint="default" w:ascii="Times New Roman" w:hAnsi="Times New Roman" w:cs="Times New Roman"/>
          <w:b w:val="0"/>
          <w:bCs w:val="0"/>
          <w:sz w:val="20"/>
          <w:szCs w:val="20"/>
          <w:lang w:val="en-US" w:eastAsia="zh-CN"/>
        </w:rPr>
      </w:pPr>
      <w:r>
        <w:rPr>
          <w:rFonts w:hint="eastAsia" w:cs="Times New Roman"/>
          <w:b w:val="0"/>
          <w:bCs w:val="0"/>
          <w:sz w:val="20"/>
          <w:szCs w:val="20"/>
          <w:lang w:val="en-US" w:eastAsia="zh-CN"/>
        </w:rPr>
        <w:t>Therefore based on above analysis it is proposed R</w:t>
      </w:r>
      <w:bookmarkStart w:id="5" w:name="OLE_LINK4"/>
      <w:r>
        <w:rPr>
          <w:rFonts w:hint="eastAsia" w:cs="Times New Roman"/>
          <w:b w:val="0"/>
          <w:bCs w:val="0"/>
          <w:sz w:val="20"/>
          <w:szCs w:val="20"/>
          <w:lang w:val="en-US" w:eastAsia="zh-CN"/>
        </w:rPr>
        <w:t xml:space="preserve">AN2 to postpone the decision to support group-based HO command before clearly gains are shown compared to the extra specs work required. </w:t>
      </w:r>
    </w:p>
    <w:bookmarkEnd w:id="5"/>
    <w:p>
      <w:pPr>
        <w:rPr>
          <w:rFonts w:hint="default" w:ascii="Times New Roman" w:hAnsi="Times New Roman" w:cs="Times New Roman"/>
          <w:b/>
          <w:bCs/>
          <w:sz w:val="20"/>
          <w:szCs w:val="20"/>
          <w:lang w:val="en-US" w:eastAsia="zh-CN"/>
        </w:rPr>
      </w:pPr>
      <w:r>
        <w:rPr>
          <w:rFonts w:hint="eastAsia"/>
          <w:b/>
          <w:bCs/>
          <w:lang w:val="en-US" w:eastAsia="zh-CN"/>
        </w:rPr>
        <w:t>Proposal 3: RA</w:t>
      </w:r>
      <w:r>
        <w:rPr>
          <w:rFonts w:hint="eastAsia" w:cs="Times New Roman"/>
          <w:b/>
          <w:bCs/>
          <w:sz w:val="20"/>
          <w:szCs w:val="20"/>
          <w:lang w:val="en-US" w:eastAsia="zh-CN"/>
        </w:rPr>
        <w:t xml:space="preserve">N2 postpone the decision to support group-based HO command before clearly gains are shown compared to the extra specs work required. </w:t>
      </w:r>
    </w:p>
    <w:p>
      <w:pPr>
        <w:bidi w:val="0"/>
        <w:rPr>
          <w:rFonts w:hint="default"/>
          <w:lang w:val="en-US" w:eastAsia="zh-CN"/>
        </w:rPr>
      </w:pPr>
    </w:p>
    <w:p>
      <w:pPr>
        <w:numPr>
          <w:ilvl w:val="0"/>
          <w:numId w:val="5"/>
        </w:numPr>
        <w:bidi w:val="0"/>
        <w:rPr>
          <w:rFonts w:hint="default"/>
          <w:b/>
          <w:bCs/>
        </w:rPr>
      </w:pPr>
      <w:r>
        <w:rPr>
          <w:rFonts w:hint="default"/>
          <w:b/>
          <w:bCs/>
        </w:rPr>
        <w:t>Index based handover command</w:t>
      </w:r>
    </w:p>
    <w:p>
      <w:pPr>
        <w:numPr>
          <w:ilvl w:val="0"/>
          <w:numId w:val="0"/>
        </w:numPr>
        <w:bidi w:val="0"/>
        <w:ind w:leftChars="0"/>
        <w:rPr>
          <w:rFonts w:hint="eastAsia"/>
          <w:b w:val="0"/>
          <w:bCs w:val="0"/>
          <w:lang w:val="en-US" w:eastAsia="zh-CN"/>
        </w:rPr>
      </w:pPr>
      <w:r>
        <w:rPr>
          <w:rFonts w:hint="eastAsia"/>
          <w:b w:val="0"/>
          <w:bCs w:val="0"/>
          <w:lang w:val="en-US" w:eastAsia="zh-CN"/>
        </w:rPr>
        <w:t xml:space="preserve">Last meeting RAN2 has discussed the possibility to allow NW to trigger HO to CHO candidate cells by simply provide target cell identity or CHO index but not agreements have been achieved. The gain of this enhancement is obvious since almost all of the HO configuration can be omitted while companies still have questions on the target scenarios for this enhancements. </w:t>
      </w:r>
    </w:p>
    <w:p>
      <w:pPr>
        <w:numPr>
          <w:ilvl w:val="0"/>
          <w:numId w:val="0"/>
        </w:numPr>
        <w:bidi w:val="0"/>
        <w:ind w:leftChars="0"/>
        <w:rPr>
          <w:rFonts w:hint="eastAsia"/>
          <w:b w:val="0"/>
          <w:bCs w:val="0"/>
          <w:lang w:val="en-US" w:eastAsia="zh-CN"/>
        </w:rPr>
      </w:pPr>
      <w:r>
        <w:rPr>
          <w:rFonts w:hint="eastAsia"/>
          <w:b w:val="0"/>
          <w:bCs w:val="0"/>
          <w:lang w:val="en-US" w:eastAsia="zh-CN"/>
        </w:rPr>
        <w:t xml:space="preserve">In NTN Time-based and/or location-based CHO can be configured to UE to trigger UE handover to target cell considering the satellite trajectories. And to avoid long service interruption, the triggering condition </w:t>
      </w:r>
      <w:bookmarkStart w:id="6" w:name="OLE_LINK1"/>
      <w:r>
        <w:rPr>
          <w:rFonts w:hint="eastAsia"/>
          <w:b w:val="0"/>
          <w:bCs w:val="0"/>
          <w:lang w:val="en-US" w:eastAsia="zh-CN"/>
        </w:rPr>
        <w:t>is normally set during the period when source and target cell are partially overlapped, which makes it possible to trigger CHO earlier without jeopardize the successful completion of HO to target.</w:t>
      </w:r>
      <w:bookmarkEnd w:id="6"/>
    </w:p>
    <w:p>
      <w:pPr>
        <w:rPr>
          <w:rFonts w:hint="default"/>
          <w:b w:val="0"/>
          <w:bCs w:val="0"/>
          <w:lang w:val="en-US" w:eastAsia="zh-CN"/>
        </w:rPr>
      </w:pPr>
      <w:r>
        <w:rPr>
          <w:rFonts w:hint="default" w:ascii="Times New Roman" w:hAnsi="Times New Roman" w:cs="Times New Roman"/>
          <w:b/>
          <w:bCs/>
          <w:sz w:val="20"/>
          <w:szCs w:val="20"/>
        </w:rPr>
        <w:t xml:space="preserve">Observation </w:t>
      </w:r>
      <w:r>
        <w:rPr>
          <w:rFonts w:hint="eastAsia" w:cs="Times New Roman"/>
          <w:b/>
          <w:bCs/>
          <w:sz w:val="20"/>
          <w:szCs w:val="20"/>
          <w:lang w:val="en-US" w:eastAsia="zh-CN"/>
        </w:rPr>
        <w:t>6</w:t>
      </w:r>
      <w:r>
        <w:rPr>
          <w:rFonts w:hint="default" w:ascii="Times New Roman" w:hAnsi="Times New Roman" w:cs="Times New Roman"/>
          <w:b/>
          <w:bCs/>
          <w:sz w:val="20"/>
          <w:szCs w:val="20"/>
        </w:rPr>
        <w:t xml:space="preserve">: </w:t>
      </w:r>
      <w:r>
        <w:rPr>
          <w:rFonts w:hint="eastAsia" w:cs="Times New Roman"/>
          <w:b/>
          <w:bCs/>
          <w:sz w:val="20"/>
          <w:szCs w:val="20"/>
          <w:lang w:val="en-US" w:eastAsia="zh-CN"/>
        </w:rPr>
        <w:t xml:space="preserve">The triggering timing configured for distanced/time-based </w:t>
      </w:r>
      <w:r>
        <w:rPr>
          <w:rFonts w:hint="default" w:ascii="Times New Roman" w:hAnsi="Times New Roman" w:cs="Times New Roman"/>
          <w:b/>
          <w:bCs/>
          <w:sz w:val="20"/>
          <w:szCs w:val="20"/>
        </w:rPr>
        <w:t xml:space="preserve">CHO </w:t>
      </w:r>
      <w:r>
        <w:rPr>
          <w:rFonts w:hint="eastAsia"/>
          <w:b/>
          <w:bCs/>
          <w:lang w:val="en-US" w:eastAsia="zh-CN"/>
        </w:rPr>
        <w:t>is normally set during the period when source and target cell are partially overlapped, which makes it possible to trigger CHO earlier without jeopardize the successful completion of HO to target.</w:t>
      </w:r>
    </w:p>
    <w:p>
      <w:pPr>
        <w:numPr>
          <w:ilvl w:val="0"/>
          <w:numId w:val="0"/>
        </w:numPr>
        <w:bidi w:val="0"/>
        <w:ind w:leftChars="0"/>
        <w:rPr>
          <w:rFonts w:hint="default"/>
          <w:b w:val="0"/>
          <w:bCs w:val="0"/>
          <w:lang w:val="en-US" w:eastAsia="zh-CN"/>
        </w:rPr>
      </w:pPr>
      <w:r>
        <w:rPr>
          <w:rFonts w:hint="eastAsia"/>
          <w:b w:val="0"/>
          <w:bCs w:val="0"/>
          <w:lang w:val="en-US" w:eastAsia="zh-CN"/>
        </w:rPr>
        <w:t>Assuming the originally triggered timing is set as T2, while before T2 there is a sudden increase of connections to current source (e.g., due to shut-down of TN in case of disaster) In this case it shall be allowed for NW to trigger UEs to CHO target cells before the triggering time configured to offload the traffic load from source to target.</w:t>
      </w:r>
    </w:p>
    <w:p>
      <w:pPr>
        <w:rPr>
          <w:rFonts w:hint="default" w:ascii="Times New Roman" w:hAnsi="Times New Roman" w:cs="Times New Roman"/>
          <w:b/>
          <w:bCs/>
          <w:sz w:val="20"/>
          <w:szCs w:val="20"/>
          <w:lang w:val="en-US"/>
        </w:rPr>
      </w:pPr>
      <w:r>
        <w:rPr>
          <w:rFonts w:hint="default" w:ascii="Times New Roman" w:hAnsi="Times New Roman" w:cs="Times New Roman"/>
          <w:b/>
          <w:bCs/>
          <w:sz w:val="20"/>
          <w:szCs w:val="20"/>
        </w:rPr>
        <w:t xml:space="preserve">Observation </w:t>
      </w:r>
      <w:r>
        <w:rPr>
          <w:rFonts w:hint="eastAsia" w:cs="Times New Roman"/>
          <w:b/>
          <w:bCs/>
          <w:sz w:val="20"/>
          <w:szCs w:val="20"/>
          <w:lang w:val="en-US" w:eastAsia="zh-CN"/>
        </w:rPr>
        <w:t>7</w:t>
      </w:r>
      <w:r>
        <w:rPr>
          <w:rFonts w:hint="default" w:ascii="Times New Roman" w:hAnsi="Times New Roman" w:cs="Times New Roman"/>
          <w:b/>
          <w:bCs/>
          <w:sz w:val="20"/>
          <w:szCs w:val="20"/>
        </w:rPr>
        <w:t xml:space="preserve">: </w:t>
      </w:r>
      <w:r>
        <w:rPr>
          <w:rFonts w:hint="eastAsia" w:cs="Times New Roman"/>
          <w:b/>
          <w:bCs/>
          <w:sz w:val="20"/>
          <w:szCs w:val="20"/>
          <w:lang w:val="en-US" w:eastAsia="zh-CN"/>
        </w:rPr>
        <w:t xml:space="preserve">In case there is sudden increase of connection load to source (e.g., in case disaster when TN is not available) </w:t>
      </w:r>
      <w:r>
        <w:rPr>
          <w:rFonts w:hint="default" w:ascii="Times New Roman" w:hAnsi="Times New Roman" w:cs="Times New Roman"/>
          <w:b/>
          <w:bCs/>
          <w:sz w:val="20"/>
          <w:szCs w:val="20"/>
        </w:rPr>
        <w:t xml:space="preserve">NW </w:t>
      </w:r>
      <w:r>
        <w:rPr>
          <w:rFonts w:hint="eastAsia" w:cs="Times New Roman"/>
          <w:b/>
          <w:bCs/>
          <w:sz w:val="20"/>
          <w:szCs w:val="20"/>
          <w:lang w:val="en-US" w:eastAsia="zh-CN"/>
        </w:rPr>
        <w:t>can</w:t>
      </w:r>
      <w:r>
        <w:rPr>
          <w:rFonts w:hint="default" w:ascii="Times New Roman" w:hAnsi="Times New Roman" w:cs="Times New Roman"/>
          <w:b/>
          <w:bCs/>
          <w:sz w:val="20"/>
          <w:szCs w:val="20"/>
        </w:rPr>
        <w:t xml:space="preserve"> handover UE to CHO candidate cells before CHO is triggered </w:t>
      </w:r>
      <w:r>
        <w:rPr>
          <w:rFonts w:hint="eastAsia" w:cs="Times New Roman"/>
          <w:b/>
          <w:bCs/>
          <w:sz w:val="20"/>
          <w:szCs w:val="20"/>
          <w:lang w:val="en-US" w:eastAsia="zh-CN"/>
        </w:rPr>
        <w:t>to off-</w:t>
      </w:r>
      <w:r>
        <w:rPr>
          <w:rFonts w:hint="default" w:ascii="Times New Roman" w:hAnsi="Times New Roman" w:cs="Times New Roman"/>
          <w:b/>
          <w:bCs/>
          <w:sz w:val="20"/>
          <w:szCs w:val="20"/>
        </w:rPr>
        <w:t xml:space="preserve">load </w:t>
      </w:r>
      <w:r>
        <w:rPr>
          <w:rFonts w:hint="eastAsia" w:cs="Times New Roman"/>
          <w:b/>
          <w:bCs/>
          <w:sz w:val="20"/>
          <w:szCs w:val="20"/>
          <w:lang w:val="en-US" w:eastAsia="zh-CN"/>
        </w:rPr>
        <w:t>traffic from source.</w:t>
      </w:r>
    </w:p>
    <w:p>
      <w:pPr>
        <w:rPr>
          <w:rFonts w:hint="default" w:ascii="Times New Roman" w:hAnsi="Times New Roman" w:cs="Times New Roman"/>
          <w:sz w:val="20"/>
          <w:szCs w:val="20"/>
        </w:rPr>
      </w:pPr>
      <w:r>
        <w:rPr>
          <w:rFonts w:hint="default" w:ascii="Times New Roman" w:hAnsi="Times New Roman" w:cs="Times New Roman"/>
          <w:sz w:val="20"/>
          <w:szCs w:val="20"/>
        </w:rPr>
        <w:t xml:space="preserve">With the reduction of the payload size, the reception failure of the handover command can be reduced, which would in return reduce the RLF rate and handover failure rate. </w:t>
      </w:r>
    </w:p>
    <w:p>
      <w:pPr>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Observation </w:t>
      </w:r>
      <w:r>
        <w:rPr>
          <w:rFonts w:hint="eastAsia" w:cs="Times New Roman"/>
          <w:b/>
          <w:bCs/>
          <w:sz w:val="20"/>
          <w:szCs w:val="20"/>
          <w:lang w:val="en-US" w:eastAsia="zh-CN"/>
        </w:rPr>
        <w:t>8</w:t>
      </w:r>
      <w:r>
        <w:rPr>
          <w:rFonts w:hint="default" w:ascii="Times New Roman" w:hAnsi="Times New Roman" w:cs="Times New Roman"/>
          <w:b/>
          <w:bCs/>
          <w:sz w:val="20"/>
          <w:szCs w:val="20"/>
        </w:rPr>
        <w:t>: Reduced HO command size also helps improv</w:t>
      </w:r>
      <w:r>
        <w:rPr>
          <w:rFonts w:hint="default" w:ascii="Times New Roman" w:hAnsi="Times New Roman" w:cs="Times New Roman"/>
          <w:b/>
          <w:bCs/>
          <w:sz w:val="20"/>
          <w:szCs w:val="20"/>
          <w:lang w:val="en-US" w:eastAsia="zh-CN"/>
        </w:rPr>
        <w:t>ing</w:t>
      </w:r>
      <w:r>
        <w:rPr>
          <w:rFonts w:hint="default" w:ascii="Times New Roman" w:hAnsi="Times New Roman" w:cs="Times New Roman"/>
          <w:b/>
          <w:bCs/>
          <w:sz w:val="20"/>
          <w:szCs w:val="20"/>
        </w:rPr>
        <w:t xml:space="preserve"> the successful rate of reception of RRCReconfigurtaion message therefore improve</w:t>
      </w:r>
      <w:r>
        <w:rPr>
          <w:rFonts w:hint="default" w:ascii="Times New Roman" w:hAnsi="Times New Roman" w:cs="Times New Roman"/>
          <w:b/>
          <w:bCs/>
          <w:sz w:val="20"/>
          <w:szCs w:val="20"/>
          <w:lang w:val="en-US" w:eastAsia="zh-CN"/>
        </w:rPr>
        <w:t>s</w:t>
      </w:r>
      <w:r>
        <w:rPr>
          <w:rFonts w:hint="default" w:ascii="Times New Roman" w:hAnsi="Times New Roman" w:cs="Times New Roman"/>
          <w:b/>
          <w:bCs/>
          <w:sz w:val="20"/>
          <w:szCs w:val="20"/>
        </w:rPr>
        <w:t xml:space="preserve"> overall HO performance.</w:t>
      </w:r>
    </w:p>
    <w:p>
      <w:pPr>
        <w:rPr>
          <w:rFonts w:hint="default" w:ascii="Times New Roman" w:hAnsi="Times New Roman" w:cs="Times New Roman"/>
          <w:sz w:val="20"/>
          <w:szCs w:val="20"/>
        </w:rPr>
      </w:pPr>
      <w:r>
        <w:rPr>
          <w:rFonts w:hint="default" w:ascii="Times New Roman" w:hAnsi="Times New Roman" w:cs="Times New Roman"/>
          <w:sz w:val="20"/>
          <w:szCs w:val="20"/>
        </w:rPr>
        <w:t xml:space="preserve">Thus, we understand if the network wants to trigger a conventional handover to one of the configured CHO candidate cells, one target cell indication (e.g. candidate cell identity or index) can be included in the conventional HO command and UE should apply the corresponding </w:t>
      </w:r>
      <w:r>
        <w:rPr>
          <w:rFonts w:hint="default" w:ascii="Times New Roman" w:hAnsi="Times New Roman" w:cs="Times New Roman"/>
          <w:i/>
          <w:iCs/>
          <w:sz w:val="20"/>
          <w:szCs w:val="20"/>
        </w:rPr>
        <w:t>condRRCReconfig</w:t>
      </w:r>
      <w:r>
        <w:rPr>
          <w:rFonts w:hint="default" w:ascii="Times New Roman" w:hAnsi="Times New Roman" w:cs="Times New Roman"/>
          <w:sz w:val="20"/>
          <w:szCs w:val="20"/>
        </w:rPr>
        <w:t>.</w:t>
      </w:r>
    </w:p>
    <w:p>
      <w:pPr>
        <w:jc w:val="left"/>
        <w:rPr>
          <w:rFonts w:hint="default" w:ascii="Times New Roman" w:hAnsi="Times New Roman" w:cs="Times New Roman"/>
          <w:b/>
          <w:sz w:val="20"/>
          <w:szCs w:val="20"/>
        </w:rPr>
      </w:pPr>
      <w:r>
        <w:rPr>
          <w:rFonts w:hint="default" w:ascii="Times New Roman" w:hAnsi="Times New Roman" w:cs="Times New Roman"/>
          <w:b/>
          <w:sz w:val="20"/>
          <w:szCs w:val="20"/>
        </w:rPr>
        <w:t xml:space="preserve">Proposal </w:t>
      </w:r>
      <w:r>
        <w:rPr>
          <w:rFonts w:hint="eastAsia" w:cs="Times New Roman"/>
          <w:b/>
          <w:sz w:val="20"/>
          <w:szCs w:val="20"/>
          <w:lang w:val="en-US" w:eastAsia="zh-CN"/>
        </w:rPr>
        <w:t>4</w:t>
      </w:r>
      <w:r>
        <w:rPr>
          <w:rFonts w:hint="default" w:ascii="Times New Roman" w:hAnsi="Times New Roman" w:cs="Times New Roman"/>
          <w:b/>
          <w:sz w:val="20"/>
          <w:szCs w:val="20"/>
        </w:rPr>
        <w:t xml:space="preserve">: The CHO candidate target cell identity or index can be included in the HO command to trigger conventional handover to this cell thus the detailed configuration would be omitted and UE should apply the </w:t>
      </w:r>
      <w:r>
        <w:rPr>
          <w:rFonts w:hint="default" w:ascii="Times New Roman" w:hAnsi="Times New Roman" w:cs="Times New Roman"/>
          <w:b/>
          <w:i/>
          <w:sz w:val="20"/>
          <w:szCs w:val="20"/>
        </w:rPr>
        <w:t>condRRCReconfig</w:t>
      </w:r>
      <w:r>
        <w:rPr>
          <w:rFonts w:hint="default" w:ascii="Times New Roman" w:hAnsi="Times New Roman" w:cs="Times New Roman"/>
          <w:b/>
          <w:sz w:val="20"/>
          <w:szCs w:val="20"/>
        </w:rPr>
        <w:t xml:space="preserve"> stored for this cell.</w:t>
      </w:r>
    </w:p>
    <w:p>
      <w:pPr>
        <w:pStyle w:val="3"/>
        <w:numPr>
          <w:ilvl w:val="1"/>
          <w:numId w:val="3"/>
        </w:numPr>
        <w:rPr>
          <w:rFonts w:hint="default" w:ascii="Times New Roman" w:hAnsi="Times New Roman" w:cs="Times New Roman"/>
          <w:b w:val="0"/>
          <w:bCs w:val="0"/>
          <w:lang w:val="en-US" w:eastAsia="zh-CN"/>
        </w:rPr>
      </w:pPr>
      <w:r>
        <w:rPr>
          <w:rFonts w:hint="eastAsia" w:ascii="Times New Roman" w:hAnsi="Times New Roman" w:cs="Times New Roman"/>
          <w:b w:val="0"/>
          <w:bCs w:val="0"/>
          <w:lang w:val="en-US" w:eastAsia="zh-CN"/>
        </w:rPr>
        <w:t>PCI unchanged solution</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5" w:type="dxa"/>
          </w:tcPr>
          <w:p>
            <w:pPr>
              <w:keepNext w:val="0"/>
              <w:keepLines w:val="0"/>
              <w:suppressLineNumbers w:val="0"/>
              <w:spacing w:before="0" w:beforeAutospacing="0" w:afterAutospacing="0"/>
              <w:ind w:left="0" w:right="0"/>
              <w:rPr>
                <w:rFonts w:hint="eastAsia" w:cs="Times New Roman"/>
                <w:b w:val="0"/>
                <w:bCs w:val="0"/>
                <w:vertAlign w:val="baseline"/>
                <w:lang w:val="en-US" w:eastAsia="zh-CN"/>
              </w:rPr>
            </w:pPr>
            <w:r>
              <w:rPr>
                <w:rFonts w:hint="eastAsia" w:cs="Times New Roman"/>
                <w:b w:val="0"/>
                <w:bCs w:val="0"/>
                <w:vertAlign w:val="baseline"/>
                <w:lang w:val="en-US" w:eastAsia="zh-CN"/>
              </w:rPr>
              <w:t xml:space="preserve">Working Assumption: </w:t>
            </w:r>
          </w:p>
          <w:p>
            <w:pPr>
              <w:keepNext w:val="0"/>
              <w:keepLines w:val="0"/>
              <w:suppressLineNumbers w:val="0"/>
              <w:spacing w:before="0" w:beforeAutospacing="0" w:afterAutospacing="0"/>
              <w:ind w:left="0" w:right="0"/>
              <w:rPr>
                <w:rFonts w:hint="eastAsia" w:cs="Times New Roman"/>
                <w:b w:val="0"/>
                <w:bCs w:val="0"/>
                <w:vertAlign w:val="baseline"/>
                <w:lang w:val="en-US" w:eastAsia="zh-CN"/>
              </w:rPr>
            </w:pPr>
            <w:r>
              <w:rPr>
                <w:rFonts w:hint="eastAsia" w:cs="Times New Roman"/>
                <w:b w:val="0"/>
                <w:bCs w:val="0"/>
                <w:vertAlign w:val="baseline"/>
                <w:lang w:val="en-US" w:eastAsia="zh-CN"/>
              </w:rPr>
              <w:t>In quasi-earth fixed cell case, for hard satellite switch in the same SSB frequency and same gNB (no key change), satellite switching without PCI changing (not requiring L3 mobility) is supported.</w:t>
            </w:r>
          </w:p>
        </w:tc>
      </w:tr>
    </w:tbl>
    <w:p>
      <w:pPr>
        <w:rPr>
          <w:rFonts w:hint="eastAsia"/>
          <w:lang w:val="en-US" w:eastAsia="zh-CN"/>
        </w:rPr>
      </w:pPr>
    </w:p>
    <w:p>
      <w:pPr>
        <w:rPr>
          <w:rFonts w:hint="eastAsia"/>
          <w:lang w:val="en-US" w:eastAsia="zh-CN"/>
        </w:rPr>
      </w:pPr>
      <w:r>
        <w:rPr>
          <w:rFonts w:hint="eastAsia"/>
          <w:lang w:val="en-US" w:eastAsia="zh-CN"/>
        </w:rPr>
        <w:t xml:space="preserve">RAN2 has agreed on working assumption that it is possible to support satellite switch without changing PCIs for quasi-fixed scenario. In this case, since the satellite switch timing is predictable and is common for all UEs within the cell, system information (e.g., SIB19) can be used to indicate UE when the switch will happens. </w:t>
      </w:r>
    </w:p>
    <w:p>
      <w:pPr>
        <w:numPr>
          <w:ilvl w:val="0"/>
          <w:numId w:val="0"/>
        </w:numPr>
        <w:ind w:leftChars="0"/>
        <w:rPr>
          <w:rFonts w:hint="eastAsia"/>
          <w:b/>
          <w:bCs/>
          <w:lang w:val="en-US" w:eastAsia="zh-CN"/>
        </w:rPr>
      </w:pPr>
      <w:bookmarkStart w:id="7" w:name="OLE_LINK5"/>
      <w:r>
        <w:rPr>
          <w:rFonts w:hint="eastAsia"/>
          <w:b/>
          <w:bCs/>
          <w:lang w:val="en-US" w:eastAsia="zh-CN"/>
        </w:rPr>
        <w:t>Observation 9: The switch timing for PCI unchanged scenarios is predictable and is common for all UEs within the cell, therefore it is feasible to use system information (e.g., SIB19) to inform UE the satellite switch timing.</w:t>
      </w:r>
    </w:p>
    <w:p>
      <w:pPr>
        <w:numPr>
          <w:ilvl w:val="0"/>
          <w:numId w:val="0"/>
        </w:numPr>
        <w:ind w:leftChars="0"/>
        <w:rPr>
          <w:rFonts w:hint="eastAsia"/>
          <w:b w:val="0"/>
          <w:bCs w:val="0"/>
          <w:lang w:val="en-US" w:eastAsia="zh-CN"/>
        </w:rPr>
      </w:pPr>
      <w:r>
        <w:rPr>
          <w:rFonts w:hint="eastAsia"/>
          <w:b w:val="0"/>
          <w:bCs w:val="0"/>
          <w:lang w:val="en-US" w:eastAsia="zh-CN"/>
        </w:rPr>
        <w:t>After the satellite switch, UE needs to obtain the DL synchronization to new satellite and regain UL synchronization if needed, where UE is needed to be informed with timing such actions are performed. And there are two options can be considered for this purpose:</w:t>
      </w:r>
    </w:p>
    <w:p>
      <w:pPr>
        <w:numPr>
          <w:ilvl w:val="0"/>
          <w:numId w:val="6"/>
        </w:numPr>
        <w:ind w:left="420" w:leftChars="0" w:hanging="420" w:firstLineChars="0"/>
        <w:rPr>
          <w:rFonts w:hint="default"/>
          <w:b w:val="0"/>
          <w:bCs w:val="0"/>
          <w:lang w:val="en-US" w:eastAsia="zh-CN"/>
        </w:rPr>
      </w:pPr>
      <w:r>
        <w:rPr>
          <w:rFonts w:hint="eastAsia"/>
          <w:b w:val="0"/>
          <w:bCs w:val="0"/>
          <w:lang w:val="en-US" w:eastAsia="zh-CN"/>
        </w:rPr>
        <w:t>Opt1: Explicit indication plus legacy t-service</w:t>
      </w:r>
    </w:p>
    <w:p>
      <w:pPr>
        <w:numPr>
          <w:ilvl w:val="0"/>
          <w:numId w:val="6"/>
        </w:numPr>
        <w:ind w:left="420" w:leftChars="0" w:hanging="420" w:firstLineChars="0"/>
        <w:rPr>
          <w:rFonts w:hint="default"/>
          <w:b w:val="0"/>
          <w:bCs w:val="0"/>
          <w:lang w:val="en-US" w:eastAsia="zh-CN"/>
        </w:rPr>
      </w:pPr>
      <w:r>
        <w:rPr>
          <w:rFonts w:hint="eastAsia"/>
          <w:b w:val="0"/>
          <w:bCs w:val="0"/>
          <w:lang w:val="en-US" w:eastAsia="zh-CN"/>
        </w:rPr>
        <w:t>Opt2: New indication to indicate the satellite switch timing</w:t>
      </w:r>
    </w:p>
    <w:p>
      <w:pPr>
        <w:numPr>
          <w:ilvl w:val="0"/>
          <w:numId w:val="0"/>
        </w:numPr>
        <w:ind w:leftChars="0"/>
        <w:rPr>
          <w:rFonts w:hint="eastAsia"/>
          <w:b/>
          <w:bCs/>
          <w:lang w:val="en-US" w:eastAsia="zh-CN"/>
        </w:rPr>
      </w:pPr>
      <w:r>
        <w:rPr>
          <w:rFonts w:hint="eastAsia"/>
          <w:b/>
          <w:bCs/>
          <w:lang w:val="en-US" w:eastAsia="zh-CN"/>
        </w:rPr>
        <w:t>Observation 10: There are two options can be considered to indicate the time when UE needs to start switching to the up coming satellite:</w:t>
      </w:r>
    </w:p>
    <w:p>
      <w:pPr>
        <w:numPr>
          <w:ilvl w:val="0"/>
          <w:numId w:val="6"/>
        </w:numPr>
        <w:ind w:left="420" w:leftChars="0" w:hanging="420" w:firstLineChars="0"/>
        <w:rPr>
          <w:rFonts w:hint="default"/>
          <w:b/>
          <w:bCs/>
          <w:lang w:val="en-US" w:eastAsia="zh-CN"/>
        </w:rPr>
      </w:pPr>
      <w:r>
        <w:rPr>
          <w:rFonts w:hint="eastAsia"/>
          <w:b/>
          <w:bCs/>
          <w:lang w:val="en-US" w:eastAsia="zh-CN"/>
        </w:rPr>
        <w:t>Opt1: Explicit indication plus legacy t-service</w:t>
      </w:r>
    </w:p>
    <w:p>
      <w:pPr>
        <w:numPr>
          <w:ilvl w:val="0"/>
          <w:numId w:val="6"/>
        </w:numPr>
        <w:ind w:left="420" w:leftChars="0" w:hanging="420" w:firstLineChars="0"/>
        <w:rPr>
          <w:rFonts w:hint="default"/>
          <w:b w:val="0"/>
          <w:bCs w:val="0"/>
          <w:lang w:val="en-US" w:eastAsia="zh-CN"/>
        </w:rPr>
      </w:pPr>
      <w:r>
        <w:rPr>
          <w:rFonts w:hint="eastAsia"/>
          <w:b/>
          <w:bCs/>
          <w:lang w:val="en-US" w:eastAsia="zh-CN"/>
        </w:rPr>
        <w:t>Opt2: New indication to indicate the satellite switch timing</w:t>
      </w:r>
    </w:p>
    <w:p>
      <w:pPr>
        <w:numPr>
          <w:ilvl w:val="0"/>
          <w:numId w:val="0"/>
        </w:numPr>
        <w:ind w:leftChars="0"/>
        <w:rPr>
          <w:rFonts w:hint="default"/>
          <w:lang w:val="en-US" w:eastAsia="zh-CN"/>
        </w:rPr>
      </w:pPr>
      <w:r>
        <w:rPr>
          <w:rFonts w:hint="eastAsia"/>
          <w:lang w:val="en-US" w:eastAsia="zh-CN"/>
        </w:rPr>
        <w:t xml:space="preserve">For option 1, since t-service has been introduced in R17 to indicate the time current serving cell will stop provide service, it is possible to reuse this information to indicate the time when the current serving cell will stop provide service. However, to allow UE to know that the PCI shall remains unchanged after service link switch, additional indication can be used together to inform UE that the same PCI is used, which can be easily done by introducing a one-bit indication in SIB19. </w:t>
      </w:r>
      <w:r>
        <w:rPr>
          <w:rFonts w:hint="eastAsia"/>
          <w:b w:val="0"/>
          <w:bCs w:val="0"/>
          <w:lang w:val="en-US" w:eastAsia="zh-CN"/>
        </w:rPr>
        <w:t xml:space="preserve">Since legacy t-service is only used for idle/inactive UEs to initiate neighboring cell measurements while for PCI unchanged it is for connected mode UEs, therefore there shall be no confusions at UE is the same IE is reused. </w:t>
      </w:r>
    </w:p>
    <w:p>
      <w:pPr>
        <w:numPr>
          <w:ilvl w:val="0"/>
          <w:numId w:val="0"/>
        </w:numPr>
        <w:ind w:leftChars="0"/>
        <w:rPr>
          <w:rFonts w:hint="eastAsia"/>
          <w:b/>
          <w:bCs/>
          <w:lang w:val="en-US" w:eastAsia="zh-CN"/>
        </w:rPr>
      </w:pPr>
      <w:r>
        <w:rPr>
          <w:rFonts w:hint="eastAsia"/>
          <w:b/>
          <w:bCs/>
          <w:lang w:val="en-US" w:eastAsia="zh-CN"/>
        </w:rPr>
        <w:t>Observation 11: Option 1 reuse Legacy field t-service to indicate when current serving cell will stop provide service to current area where additional indication (e.g.,one-bit indication) is used to inform UE to keep the same PCI after serving link switch.</w:t>
      </w:r>
    </w:p>
    <w:p>
      <w:pPr>
        <w:numPr>
          <w:ilvl w:val="0"/>
          <w:numId w:val="0"/>
        </w:numPr>
        <w:ind w:leftChars="0"/>
        <w:rPr>
          <w:rFonts w:hint="eastAsia"/>
          <w:b w:val="0"/>
          <w:bCs w:val="0"/>
          <w:lang w:val="en-US" w:eastAsia="zh-CN"/>
        </w:rPr>
      </w:pPr>
      <w:r>
        <w:rPr>
          <w:rFonts w:hint="eastAsia"/>
          <w:b w:val="0"/>
          <w:bCs w:val="0"/>
          <w:lang w:val="en-US" w:eastAsia="zh-CN"/>
        </w:rPr>
        <w:t xml:space="preserve">For option 2, a new t-service like IE is introduced, where the presence of this IE can be considered as implicit indication to UE that the same PCI is used. As discussed above, the switch timing is the same for UEs within the same cell coverage, once the configuration is given for UE supports this feature it will starts to switch to new satellite at the time indicated, there is no need to introduce UE dedicated signalling. While for UE not supporting this feature, it will just ignores the configuration. This option may be more flexible since it is possible for NW to configure a switch timing slightly earlier to allow more time for UE to switch to the up-coming satellite, also the configuration can be independent from time-based cell reselection, which is cleaner .  </w:t>
      </w:r>
    </w:p>
    <w:p>
      <w:pPr>
        <w:numPr>
          <w:ilvl w:val="0"/>
          <w:numId w:val="0"/>
        </w:numPr>
        <w:ind w:leftChars="0"/>
        <w:rPr>
          <w:rFonts w:hint="default"/>
          <w:b/>
          <w:bCs/>
          <w:lang w:val="en-US" w:eastAsia="zh-CN"/>
        </w:rPr>
      </w:pPr>
      <w:r>
        <w:rPr>
          <w:rFonts w:hint="eastAsia"/>
          <w:b/>
          <w:bCs/>
          <w:lang w:val="en-US" w:eastAsia="zh-CN"/>
        </w:rPr>
        <w:t>Observation 12: Option 2 using a new t-service like IE to indicate the satellite timing where the presence of this new IE can be considered as implicit indication to UE that the same PCI is used, which is more future proofing and flexible.</w:t>
      </w:r>
    </w:p>
    <w:p>
      <w:pPr>
        <w:numPr>
          <w:ilvl w:val="0"/>
          <w:numId w:val="0"/>
        </w:numPr>
        <w:ind w:leftChars="0"/>
        <w:rPr>
          <w:rFonts w:hint="default" w:cs="Times New Roman"/>
          <w:b w:val="0"/>
          <w:bCs w:val="0"/>
          <w:vertAlign w:val="baseline"/>
          <w:lang w:val="en-US" w:eastAsia="zh-CN"/>
        </w:rPr>
      </w:pPr>
      <w:r>
        <w:rPr>
          <w:rFonts w:hint="eastAsia" w:cs="Times New Roman"/>
          <w:b w:val="0"/>
          <w:bCs w:val="0"/>
          <w:vertAlign w:val="baseline"/>
          <w:lang w:val="en-US" w:eastAsia="zh-CN"/>
        </w:rPr>
        <w:t>Therefore, it is proposed to adopt option 2 to indicate UE that the satellite switch timing without changing PCI.</w:t>
      </w:r>
    </w:p>
    <w:p>
      <w:pPr>
        <w:rPr>
          <w:rFonts w:hint="default" w:cs="Times New Roman"/>
          <w:b/>
          <w:bCs/>
          <w:vertAlign w:val="baseline"/>
          <w:lang w:val="en-US" w:eastAsia="zh-CN"/>
        </w:rPr>
      </w:pPr>
      <w:r>
        <w:rPr>
          <w:rFonts w:hint="eastAsia"/>
          <w:b/>
          <w:bCs/>
          <w:lang w:val="en-US" w:eastAsia="zh-CN"/>
        </w:rPr>
        <w:t xml:space="preserve">Proposal 5: In NTN, </w:t>
      </w:r>
      <w:r>
        <w:rPr>
          <w:rFonts w:hint="eastAsia" w:cs="Times New Roman"/>
          <w:b/>
          <w:bCs/>
          <w:vertAlign w:val="baseline"/>
          <w:lang w:val="en-US" w:eastAsia="zh-CN"/>
        </w:rPr>
        <w:t>a new t-service like IE is introduced in system information (e.g.,SIB19) to indicate t</w:t>
      </w:r>
      <w:r>
        <w:rPr>
          <w:rFonts w:hint="eastAsia"/>
          <w:b/>
          <w:bCs/>
          <w:lang w:val="en-US" w:eastAsia="zh-CN"/>
        </w:rPr>
        <w:t>he time when UE needs to start switching to the up coming satellite</w:t>
      </w:r>
      <w:r>
        <w:rPr>
          <w:rFonts w:hint="eastAsia" w:cs="Times New Roman"/>
          <w:b/>
          <w:bCs/>
          <w:vertAlign w:val="baseline"/>
          <w:lang w:val="en-US" w:eastAsia="zh-CN"/>
        </w:rPr>
        <w:t>, where the presence of this IE is used as implicit indication that the same PCI is used after the satellite switch.</w:t>
      </w:r>
    </w:p>
    <w:p>
      <w:pPr>
        <w:rPr>
          <w:rFonts w:hint="default"/>
          <w:lang w:val="en-US" w:eastAsia="zh-CN"/>
        </w:rPr>
      </w:pPr>
      <w:r>
        <w:rPr>
          <w:rFonts w:hint="eastAsia"/>
          <w:lang w:val="en-US" w:eastAsia="zh-CN"/>
        </w:rPr>
        <w:t xml:space="preserve">During the switch, since there could be minor interruption, UE is not expected to transmits any uplink data before regain synchronization to target satellite. Also, UE needs to reacquire new SIB19 from target in order to obtain necessary assisting information for performing pre-compensation. Whether there is a need to perform RACH to fine-tuning TA may relevant to whether there is any uplink data arriving for transmission. i.e., UE triggers RACH when there is UL data arrival. While for arrival of DL data, it is possible for NW to use PDCCH order to trigger UE to perform RACH which is legacy behavior. </w:t>
      </w:r>
    </w:p>
    <w:p>
      <w:pPr>
        <w:rPr>
          <w:rFonts w:hint="default"/>
          <w:b/>
          <w:bCs/>
          <w:lang w:val="en-US" w:eastAsia="zh-CN"/>
        </w:rPr>
      </w:pPr>
      <w:r>
        <w:rPr>
          <w:rFonts w:hint="eastAsia"/>
          <w:b/>
          <w:bCs/>
          <w:lang w:val="en-US" w:eastAsia="zh-CN"/>
        </w:rPr>
        <w:t xml:space="preserve">Observation 13: Below UE actions are expected in case hard satellite switch without changing PCI: </w:t>
      </w:r>
    </w:p>
    <w:p>
      <w:pPr>
        <w:numPr>
          <w:ilvl w:val="0"/>
          <w:numId w:val="7"/>
        </w:numPr>
        <w:spacing w:line="240" w:lineRule="auto"/>
        <w:ind w:left="420" w:leftChars="0" w:hanging="420" w:firstLineChars="0"/>
        <w:rPr>
          <w:rFonts w:hint="default"/>
          <w:b/>
          <w:bCs/>
          <w:lang w:val="en-US" w:eastAsia="zh-CN"/>
        </w:rPr>
      </w:pPr>
      <w:r>
        <w:rPr>
          <w:rFonts w:hint="eastAsia"/>
          <w:b/>
          <w:bCs/>
          <w:lang w:val="en-US" w:eastAsia="zh-CN"/>
        </w:rPr>
        <w:t>Flush HARQ buffer and stop uplink transmissions if any until regain uplink synchronization to target</w:t>
      </w:r>
    </w:p>
    <w:p>
      <w:pPr>
        <w:numPr>
          <w:ilvl w:val="0"/>
          <w:numId w:val="7"/>
        </w:numPr>
        <w:spacing w:line="240" w:lineRule="auto"/>
        <w:ind w:left="420" w:leftChars="0" w:hanging="420" w:firstLineChars="0"/>
        <w:rPr>
          <w:rFonts w:hint="default"/>
          <w:b/>
          <w:bCs/>
          <w:lang w:val="en-US" w:eastAsia="zh-CN"/>
        </w:rPr>
      </w:pPr>
      <w:r>
        <w:rPr>
          <w:rFonts w:hint="eastAsia"/>
          <w:b/>
          <w:bCs/>
          <w:lang w:val="en-US" w:eastAsia="zh-CN"/>
        </w:rPr>
        <w:t>Reacquire SIB19 from target satellite to obtain necessary assisting information for synchronization</w:t>
      </w:r>
    </w:p>
    <w:p>
      <w:pPr>
        <w:numPr>
          <w:ilvl w:val="0"/>
          <w:numId w:val="7"/>
        </w:numPr>
        <w:spacing w:line="240" w:lineRule="auto"/>
        <w:ind w:left="420" w:leftChars="0" w:hanging="420" w:firstLineChars="0"/>
        <w:rPr>
          <w:rFonts w:hint="default"/>
          <w:b/>
          <w:bCs/>
          <w:lang w:val="en-US" w:eastAsia="zh-CN"/>
        </w:rPr>
      </w:pPr>
      <w:r>
        <w:rPr>
          <w:rFonts w:hint="eastAsia"/>
          <w:b/>
          <w:bCs/>
          <w:lang w:val="en-US" w:eastAsia="zh-CN"/>
        </w:rPr>
        <w:t>Initiate RACH to fine-tuning TA, which is needed only when there is any UL data arriving or can be trigger by PDCCH order in case DL data arrival</w:t>
      </w:r>
    </w:p>
    <w:p>
      <w:pPr>
        <w:numPr>
          <w:ilvl w:val="0"/>
          <w:numId w:val="0"/>
        </w:numPr>
        <w:ind w:leftChars="0"/>
        <w:rPr>
          <w:rFonts w:hint="default"/>
          <w:b w:val="0"/>
          <w:bCs w:val="0"/>
          <w:lang w:val="en-US" w:eastAsia="zh-CN"/>
        </w:rPr>
      </w:pPr>
      <w:r>
        <w:rPr>
          <w:rFonts w:hint="eastAsia"/>
          <w:b w:val="0"/>
          <w:bCs w:val="0"/>
          <w:lang w:val="en-US" w:eastAsia="zh-CN"/>
        </w:rPr>
        <w:t>According to current specs, UE will stop UL transmission and flush HARQ, and reacquire SIB19 when T430 expires which is the same behaviors as described in the first two bullets in above observation. It is also noticed the third bullet in above observation is similar to the existing triggering condition for RACH when TAT time expires but there is DL/UL data arriving. Therefore the simplest method to capture behaviors described in above observation in specs is to assume T430 and TAT timer as expired at the timing indicated by NW as discussed in observation 12.</w:t>
      </w:r>
    </w:p>
    <w:p>
      <w:pPr>
        <w:numPr>
          <w:ilvl w:val="0"/>
          <w:numId w:val="0"/>
        </w:numPr>
        <w:ind w:leftChars="0"/>
        <w:rPr>
          <w:rFonts w:hint="default"/>
          <w:b/>
          <w:bCs/>
          <w:lang w:val="en-US" w:eastAsia="zh-CN"/>
        </w:rPr>
      </w:pPr>
      <w:r>
        <w:rPr>
          <w:rFonts w:hint="eastAsia"/>
          <w:b/>
          <w:bCs/>
          <w:lang w:val="en-US" w:eastAsia="zh-CN"/>
        </w:rPr>
        <w:t xml:space="preserve">Proposal 6: If provided with the new IE as discussed in P5 (the IE </w:t>
      </w:r>
      <w:r>
        <w:rPr>
          <w:rFonts w:hint="eastAsia" w:cs="Times New Roman"/>
          <w:b/>
          <w:bCs/>
          <w:vertAlign w:val="baseline"/>
          <w:lang w:val="en-US" w:eastAsia="zh-CN"/>
        </w:rPr>
        <w:t>indicate t</w:t>
      </w:r>
      <w:r>
        <w:rPr>
          <w:rFonts w:hint="eastAsia"/>
          <w:b/>
          <w:bCs/>
          <w:lang w:val="en-US" w:eastAsia="zh-CN"/>
        </w:rPr>
        <w:t>he time when UE needs to start switching to the up coming satellite), UE consider TimeAlignmentTimer timer and T430 as expired at the time indicated by the new IE received.</w:t>
      </w:r>
    </w:p>
    <w:p>
      <w:pPr>
        <w:numPr>
          <w:ilvl w:val="0"/>
          <w:numId w:val="0"/>
        </w:numPr>
        <w:ind w:leftChars="0"/>
        <w:rPr>
          <w:rFonts w:hint="eastAsia"/>
          <w:b w:val="0"/>
          <w:bCs w:val="0"/>
          <w:lang w:val="en-US" w:eastAsia="zh-CN"/>
        </w:rPr>
      </w:pPr>
      <w:r>
        <w:rPr>
          <w:rFonts w:hint="eastAsia"/>
          <w:b w:val="0"/>
          <w:bCs w:val="0"/>
          <w:lang w:val="en-US" w:eastAsia="zh-CN"/>
        </w:rPr>
        <w:t>For soft satellite switch without changing PCIs, there could be interference issues due to maintaining both service link to current satellite and the up-coming satellite iat the same time. As point out by other contributions [2], this issue may be addressed by proper beam configuration, but the feasibility needs to be  checked with RAN1 first.After receiving RAN1 confirmation, RAN2 can further study if the same solutions adopted for hard satellite switch can be reused.</w:t>
      </w:r>
    </w:p>
    <w:p>
      <w:pPr>
        <w:numPr>
          <w:ilvl w:val="0"/>
          <w:numId w:val="0"/>
        </w:numPr>
        <w:ind w:leftChars="0"/>
        <w:rPr>
          <w:rFonts w:hint="default"/>
          <w:b/>
          <w:bCs/>
          <w:lang w:val="en-US" w:eastAsia="zh-CN"/>
        </w:rPr>
      </w:pPr>
      <w:r>
        <w:rPr>
          <w:rFonts w:hint="eastAsia"/>
          <w:b/>
          <w:bCs/>
          <w:lang w:val="en-US" w:eastAsia="zh-CN"/>
        </w:rPr>
        <w:t>Observation 14: RAN2 can study if the same solutions adopted for hard satellite switch can be reused after RAN1 confirms the feasibility to support soft satellite switch without changing PCI.</w:t>
      </w:r>
    </w:p>
    <w:p>
      <w:pPr>
        <w:numPr>
          <w:ilvl w:val="0"/>
          <w:numId w:val="0"/>
        </w:numPr>
        <w:ind w:leftChars="0"/>
        <w:rPr>
          <w:rFonts w:hint="eastAsia"/>
          <w:b w:val="0"/>
          <w:bCs w:val="0"/>
          <w:lang w:val="en-US" w:eastAsia="zh-CN"/>
        </w:rPr>
      </w:pPr>
      <w:r>
        <w:rPr>
          <w:rFonts w:hint="eastAsia"/>
          <w:b w:val="0"/>
          <w:bCs w:val="0"/>
          <w:lang w:val="en-US" w:eastAsia="zh-CN"/>
        </w:rPr>
        <w:t>Therefore, it is proposed to send LS to RAN1 to check with the feasibility on oft satellite switch without changing PCI.</w:t>
      </w:r>
    </w:p>
    <w:p>
      <w:pPr>
        <w:numPr>
          <w:ilvl w:val="0"/>
          <w:numId w:val="0"/>
        </w:numPr>
        <w:ind w:leftChars="0"/>
        <w:rPr>
          <w:rFonts w:hint="default"/>
          <w:b w:val="0"/>
          <w:bCs w:val="0"/>
          <w:lang w:val="en-US" w:eastAsia="zh-CN"/>
        </w:rPr>
      </w:pPr>
      <w:r>
        <w:rPr>
          <w:rFonts w:hint="eastAsia"/>
          <w:b/>
          <w:bCs/>
          <w:lang w:val="en-US" w:eastAsia="zh-CN"/>
        </w:rPr>
        <w:t>Proposal 7: Send an LS to RAN1 asking if  it is feasible to support soft satellite switch without changing PCI.</w:t>
      </w:r>
    </w:p>
    <w:bookmarkEnd w:id="2"/>
    <w:bookmarkEnd w:id="3"/>
    <w:bookmarkEnd w:id="7"/>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lang w:val="en-US" w:eastAsia="zh-CN"/>
        </w:rPr>
        <w:t xml:space="preserve"> [To be updated]</w:t>
      </w:r>
    </w:p>
    <w:p>
      <w:pPr>
        <w:rPr>
          <w:rFonts w:hint="default" w:ascii="Times New Roman" w:hAnsi="Times New Roman" w:cs="Times New Roman"/>
          <w:bCs/>
          <w:kern w:val="0"/>
          <w:sz w:val="20"/>
          <w:szCs w:val="20"/>
        </w:rPr>
      </w:pPr>
      <w:r>
        <w:rPr>
          <w:rFonts w:hint="default" w:ascii="Times New Roman" w:hAnsi="Times New Roman" w:cs="Times New Roman"/>
          <w:bCs/>
          <w:kern w:val="0"/>
          <w:sz w:val="20"/>
          <w:szCs w:val="20"/>
        </w:rPr>
        <w:t xml:space="preserve">Based on the analysis in previous sections, the following observations and proposals are given: </w:t>
      </w:r>
    </w:p>
    <w:p>
      <w:pPr>
        <w:numPr>
          <w:ilvl w:val="0"/>
          <w:numId w:val="5"/>
        </w:numPr>
        <w:bidi w:val="0"/>
        <w:rPr>
          <w:rFonts w:hint="eastAsia"/>
          <w:b/>
          <w:bCs/>
          <w:highlight w:val="yellow"/>
          <w:lang w:val="en-US" w:eastAsia="zh-CN"/>
        </w:rPr>
      </w:pPr>
      <w:r>
        <w:rPr>
          <w:rFonts w:hint="eastAsia"/>
          <w:b/>
          <w:bCs/>
          <w:highlight w:val="yellow"/>
          <w:lang w:val="en-US" w:eastAsia="zh-CN"/>
        </w:rPr>
        <w:t xml:space="preserve">Signalling overhead reduction </w:t>
      </w:r>
    </w:p>
    <w:p>
      <w:pPr>
        <w:numPr>
          <w:ilvl w:val="0"/>
          <w:numId w:val="0"/>
        </w:numPr>
        <w:bidi w:val="0"/>
        <w:ind w:leftChars="0"/>
        <w:rPr>
          <w:rFonts w:hint="default"/>
          <w:u w:val="single"/>
          <w:lang w:val="en-US" w:eastAsia="zh-CN"/>
        </w:rPr>
      </w:pPr>
      <w:r>
        <w:rPr>
          <w:rFonts w:hint="eastAsia"/>
          <w:b/>
          <w:bCs/>
          <w:u w:val="single"/>
          <w:lang w:val="en-US" w:eastAsia="zh-CN"/>
        </w:rPr>
        <w:t>On common signalling to provide (C)HO configuration</w:t>
      </w:r>
    </w:p>
    <w:p>
      <w:pPr>
        <w:bidi w:val="0"/>
        <w:rPr>
          <w:rFonts w:hint="eastAsia"/>
          <w:b w:val="0"/>
          <w:bCs w:val="0"/>
          <w:i/>
          <w:iCs/>
          <w:lang w:val="en-US" w:eastAsia="zh-CN"/>
        </w:rPr>
      </w:pPr>
      <w:r>
        <w:rPr>
          <w:rFonts w:hint="eastAsia"/>
          <w:b w:val="0"/>
          <w:bCs w:val="0"/>
          <w:i/>
          <w:iCs/>
          <w:lang w:val="en-US" w:eastAsia="zh-CN"/>
        </w:rPr>
        <w:t>Observation 1: For UE serves by the same satellite the neighboring cells will be most likely the same, therefore using common signalling can reduce the overhead to repeat the same configurations, e.g. the common cell configurations that are shared among UEs.</w:t>
      </w:r>
    </w:p>
    <w:p>
      <w:pPr>
        <w:bidi w:val="0"/>
        <w:rPr>
          <w:rFonts w:hint="eastAsia"/>
          <w:b w:val="0"/>
          <w:bCs w:val="0"/>
          <w:i/>
          <w:iCs/>
          <w:lang w:val="en-US" w:eastAsia="zh-CN"/>
        </w:rPr>
      </w:pPr>
      <w:r>
        <w:rPr>
          <w:rFonts w:hint="eastAsia"/>
          <w:b w:val="0"/>
          <w:bCs w:val="0"/>
          <w:i/>
          <w:iCs/>
          <w:lang w:val="en-US" w:eastAsia="zh-CN"/>
        </w:rPr>
        <w:t xml:space="preserve">Observation 2: The NTN neighboring cells are limited which makes it possible to broadcast to UEs served by the same serving cells with the same set of candidate cells without further divisions. </w:t>
      </w:r>
    </w:p>
    <w:p>
      <w:pPr>
        <w:rPr>
          <w:rFonts w:hint="eastAsia" w:ascii="Times New Roman" w:hAnsi="Times New Roman" w:cs="Times New Roman"/>
          <w:b w:val="0"/>
          <w:bCs w:val="0"/>
          <w:i/>
          <w:iCs/>
          <w:sz w:val="20"/>
          <w:szCs w:val="20"/>
          <w:lang w:val="en-US" w:eastAsia="zh-CN"/>
        </w:rPr>
      </w:pPr>
      <w:r>
        <w:rPr>
          <w:rFonts w:hint="eastAsia" w:ascii="Times New Roman" w:hAnsi="Times New Roman" w:cs="Times New Roman"/>
          <w:b w:val="0"/>
          <w:bCs w:val="0"/>
          <w:i/>
          <w:iCs/>
          <w:sz w:val="20"/>
          <w:szCs w:val="20"/>
          <w:lang w:val="en-US" w:eastAsia="zh-CN"/>
        </w:rPr>
        <w:t xml:space="preserve">Observation </w:t>
      </w:r>
      <w:r>
        <w:rPr>
          <w:rFonts w:hint="eastAsia" w:cs="Times New Roman"/>
          <w:b w:val="0"/>
          <w:bCs w:val="0"/>
          <w:i/>
          <w:iCs/>
          <w:sz w:val="20"/>
          <w:szCs w:val="20"/>
          <w:lang w:val="en-US" w:eastAsia="zh-CN"/>
        </w:rPr>
        <w:t>3</w:t>
      </w:r>
      <w:r>
        <w:rPr>
          <w:rFonts w:hint="eastAsia" w:ascii="Times New Roman" w:hAnsi="Times New Roman" w:cs="Times New Roman"/>
          <w:b w:val="0"/>
          <w:bCs w:val="0"/>
          <w:i/>
          <w:iCs/>
          <w:sz w:val="20"/>
          <w:szCs w:val="20"/>
          <w:lang w:val="en-US" w:eastAsia="zh-CN"/>
        </w:rPr>
        <w:t xml:space="preserve">: Dedicated signalling is helpful for provide or update </w:t>
      </w:r>
      <w:r>
        <w:rPr>
          <w:rFonts w:hint="eastAsia" w:cs="Times New Roman"/>
          <w:b w:val="0"/>
          <w:bCs w:val="0"/>
          <w:i/>
          <w:iCs/>
          <w:sz w:val="20"/>
          <w:szCs w:val="20"/>
          <w:lang w:val="en-US" w:eastAsia="zh-CN"/>
        </w:rPr>
        <w:t>(C)HO</w:t>
      </w:r>
      <w:r>
        <w:rPr>
          <w:rFonts w:hint="eastAsia" w:ascii="Times New Roman" w:hAnsi="Times New Roman" w:cs="Times New Roman"/>
          <w:b w:val="0"/>
          <w:bCs w:val="0"/>
          <w:i/>
          <w:iCs/>
          <w:sz w:val="20"/>
          <w:szCs w:val="20"/>
          <w:lang w:val="en-US" w:eastAsia="zh-CN"/>
        </w:rPr>
        <w:t xml:space="preserve"> configuration </w:t>
      </w:r>
      <w:r>
        <w:rPr>
          <w:rFonts w:hint="eastAsia" w:cs="Times New Roman"/>
          <w:b w:val="0"/>
          <w:bCs w:val="0"/>
          <w:i/>
          <w:iCs/>
          <w:sz w:val="20"/>
          <w:szCs w:val="20"/>
          <w:lang w:val="en-US" w:eastAsia="zh-CN"/>
        </w:rPr>
        <w:t xml:space="preserve">broadcast </w:t>
      </w:r>
      <w:r>
        <w:rPr>
          <w:rFonts w:hint="eastAsia" w:ascii="Times New Roman" w:hAnsi="Times New Roman" w:cs="Times New Roman"/>
          <w:b w:val="0"/>
          <w:bCs w:val="0"/>
          <w:i/>
          <w:iCs/>
          <w:sz w:val="20"/>
          <w:szCs w:val="20"/>
          <w:lang w:val="en-US" w:eastAsia="zh-CN"/>
        </w:rPr>
        <w:t xml:space="preserve">to provide UE specific configuration (e.g., </w:t>
      </w:r>
      <w:r>
        <w:rPr>
          <w:rFonts w:hint="eastAsia" w:cs="Times New Roman"/>
          <w:b w:val="0"/>
          <w:bCs w:val="0"/>
          <w:i/>
          <w:iCs/>
          <w:sz w:val="20"/>
          <w:szCs w:val="20"/>
          <w:lang w:val="en-US" w:eastAsia="zh-CN"/>
        </w:rPr>
        <w:t xml:space="preserve">security keys, or </w:t>
      </w:r>
      <w:r>
        <w:rPr>
          <w:rFonts w:hint="eastAsia" w:ascii="Times New Roman" w:hAnsi="Times New Roman" w:cs="Times New Roman"/>
          <w:b w:val="0"/>
          <w:bCs w:val="0"/>
          <w:i/>
          <w:iCs/>
          <w:sz w:val="20"/>
          <w:szCs w:val="20"/>
          <w:lang w:val="en-US" w:eastAsia="zh-CN"/>
        </w:rPr>
        <w:t>contention free resource).</w:t>
      </w:r>
    </w:p>
    <w:p>
      <w:pPr>
        <w:bidi w:val="0"/>
        <w:rPr>
          <w:rFonts w:hint="eastAsia"/>
          <w:b w:val="0"/>
          <w:bCs w:val="0"/>
          <w:i/>
          <w:iCs/>
          <w:lang w:val="en-US" w:eastAsia="zh-CN"/>
        </w:rPr>
      </w:pPr>
      <w:r>
        <w:rPr>
          <w:rFonts w:hint="eastAsia"/>
          <w:b w:val="0"/>
          <w:bCs w:val="0"/>
          <w:i/>
          <w:iCs/>
          <w:lang w:val="en-US" w:eastAsia="zh-CN"/>
        </w:rPr>
        <w:t>Observation 4: Use new SIB for provide common CHO configuration can avoid impact on legacy UEs.</w:t>
      </w:r>
    </w:p>
    <w:p>
      <w:pPr>
        <w:bidi w:val="0"/>
        <w:rPr>
          <w:rFonts w:hint="default"/>
          <w:b w:val="0"/>
          <w:bCs w:val="0"/>
          <w:lang w:val="en-US" w:eastAsia="zh-CN"/>
        </w:rPr>
      </w:pPr>
      <w:r>
        <w:rPr>
          <w:rFonts w:hint="eastAsia"/>
          <w:b w:val="0"/>
          <w:bCs w:val="0"/>
          <w:lang w:val="en-US" w:eastAsia="zh-CN"/>
        </w:rPr>
        <w:t>Based on above, below proposals are given:</w:t>
      </w:r>
    </w:p>
    <w:p>
      <w:pPr>
        <w:rPr>
          <w:rFonts w:hint="default" w:cs="Times New Roman"/>
          <w:b/>
          <w:bCs/>
          <w:sz w:val="20"/>
          <w:szCs w:val="20"/>
          <w:lang w:val="en-US" w:eastAsia="zh-CN"/>
        </w:rPr>
      </w:pPr>
      <w:r>
        <w:rPr>
          <w:rFonts w:hint="eastAsia"/>
          <w:b/>
          <w:bCs/>
          <w:lang w:val="en-US" w:eastAsia="zh-CN"/>
        </w:rPr>
        <w:t xml:space="preserve">Proposal 1: A new SIB is introduced </w:t>
      </w:r>
      <w:r>
        <w:rPr>
          <w:rFonts w:hint="eastAsia" w:cs="Times New Roman"/>
          <w:b/>
          <w:bCs/>
          <w:sz w:val="20"/>
          <w:szCs w:val="20"/>
          <w:lang w:val="en-US" w:eastAsia="zh-CN"/>
        </w:rPr>
        <w:t>to broadcast common (C)HO configurations.</w:t>
      </w:r>
    </w:p>
    <w:p>
      <w:pPr>
        <w:rPr>
          <w:rFonts w:hint="eastAsia" w:cs="Times New Roman"/>
          <w:b/>
          <w:bCs/>
          <w:sz w:val="20"/>
          <w:szCs w:val="20"/>
          <w:lang w:val="en-US" w:eastAsia="zh-CN"/>
        </w:rPr>
      </w:pPr>
      <w:r>
        <w:rPr>
          <w:rFonts w:hint="eastAsia" w:cs="Times New Roman"/>
          <w:b/>
          <w:bCs/>
          <w:sz w:val="20"/>
          <w:szCs w:val="20"/>
          <w:lang w:val="en-US" w:eastAsia="zh-CN"/>
        </w:rPr>
        <w:t>Proposal 2: Dedicated RRC signalling can be used to modify or release the (C)HO configuration provided in system information.</w:t>
      </w:r>
    </w:p>
    <w:p>
      <w:pPr>
        <w:numPr>
          <w:ilvl w:val="0"/>
          <w:numId w:val="0"/>
        </w:numPr>
        <w:bidi w:val="0"/>
        <w:ind w:leftChars="0"/>
        <w:rPr>
          <w:rFonts w:hint="default"/>
          <w:b/>
          <w:bCs/>
          <w:u w:val="single"/>
          <w:lang w:val="en-US" w:eastAsia="zh-CN"/>
        </w:rPr>
      </w:pPr>
      <w:r>
        <w:rPr>
          <w:rFonts w:hint="eastAsia"/>
          <w:b/>
          <w:bCs/>
          <w:u w:val="single"/>
          <w:lang w:val="en-US" w:eastAsia="zh-CN"/>
        </w:rPr>
        <w:t>On group-based HO command</w:t>
      </w:r>
    </w:p>
    <w:p>
      <w:pPr>
        <w:bidi w:val="0"/>
        <w:rPr>
          <w:rFonts w:hint="default"/>
          <w:b w:val="0"/>
          <w:bCs w:val="0"/>
          <w:i/>
          <w:iCs/>
          <w:lang w:val="en-US" w:eastAsia="zh-CN"/>
        </w:rPr>
      </w:pPr>
      <w:r>
        <w:rPr>
          <w:rFonts w:hint="eastAsia"/>
          <w:b w:val="0"/>
          <w:bCs w:val="0"/>
          <w:i/>
          <w:iCs/>
          <w:lang w:val="en-US" w:eastAsia="zh-CN"/>
        </w:rPr>
        <w:t>Observation 5: Dedicated configuration are still needed regardless it is included in separate dedicated RRC messages or in one common message, therefore the overall signalling overhead is still similar, while extra specs work and discussion will be needed to address additional issues (e.g., RACH congestion, common RNTI design and etc.)</w:t>
      </w:r>
    </w:p>
    <w:p>
      <w:pPr>
        <w:rPr>
          <w:rFonts w:hint="default"/>
          <w:lang w:val="en-US" w:eastAsia="zh-CN"/>
        </w:rPr>
      </w:pPr>
      <w:r>
        <w:rPr>
          <w:rFonts w:hint="eastAsia"/>
          <w:b/>
          <w:bCs/>
          <w:lang w:val="en-US" w:eastAsia="zh-CN"/>
        </w:rPr>
        <w:t>Proposal 3: RA</w:t>
      </w:r>
      <w:r>
        <w:rPr>
          <w:rFonts w:hint="eastAsia" w:cs="Times New Roman"/>
          <w:b/>
          <w:bCs/>
          <w:sz w:val="20"/>
          <w:szCs w:val="20"/>
          <w:lang w:val="en-US" w:eastAsia="zh-CN"/>
        </w:rPr>
        <w:t xml:space="preserve">N2 postpone the decision to support group-based HO command before clear gains are shown compared to the extra specs work required. </w:t>
      </w:r>
    </w:p>
    <w:p>
      <w:pPr>
        <w:numPr>
          <w:ilvl w:val="0"/>
          <w:numId w:val="0"/>
        </w:numPr>
        <w:bidi w:val="0"/>
        <w:ind w:leftChars="0"/>
        <w:rPr>
          <w:rFonts w:hint="default"/>
          <w:b/>
          <w:bCs/>
          <w:u w:val="single"/>
          <w:lang w:val="en-US" w:eastAsia="zh-CN"/>
        </w:rPr>
      </w:pPr>
      <w:r>
        <w:rPr>
          <w:rFonts w:hint="default"/>
          <w:b/>
          <w:bCs/>
          <w:u w:val="single"/>
          <w:lang w:val="en-US" w:eastAsia="zh-CN"/>
        </w:rPr>
        <w:t>Index based handover command</w:t>
      </w:r>
    </w:p>
    <w:p>
      <w:pPr>
        <w:rPr>
          <w:rFonts w:hint="default"/>
          <w:b w:val="0"/>
          <w:bCs w:val="0"/>
          <w:i/>
          <w:iCs/>
          <w:lang w:val="en-US" w:eastAsia="zh-CN"/>
        </w:rPr>
      </w:pPr>
      <w:r>
        <w:rPr>
          <w:rFonts w:hint="default" w:ascii="Times New Roman" w:hAnsi="Times New Roman" w:cs="Times New Roman"/>
          <w:b w:val="0"/>
          <w:bCs w:val="0"/>
          <w:i/>
          <w:iCs/>
          <w:sz w:val="20"/>
          <w:szCs w:val="20"/>
        </w:rPr>
        <w:t xml:space="preserve">Observation </w:t>
      </w:r>
      <w:r>
        <w:rPr>
          <w:rFonts w:hint="eastAsia" w:cs="Times New Roman"/>
          <w:b w:val="0"/>
          <w:bCs w:val="0"/>
          <w:i/>
          <w:iCs/>
          <w:sz w:val="20"/>
          <w:szCs w:val="20"/>
          <w:lang w:val="en-US" w:eastAsia="zh-CN"/>
        </w:rPr>
        <w:t>6</w:t>
      </w:r>
      <w:r>
        <w:rPr>
          <w:rFonts w:hint="default" w:ascii="Times New Roman" w:hAnsi="Times New Roman" w:cs="Times New Roman"/>
          <w:b w:val="0"/>
          <w:bCs w:val="0"/>
          <w:i/>
          <w:iCs/>
          <w:sz w:val="20"/>
          <w:szCs w:val="20"/>
        </w:rPr>
        <w:t xml:space="preserve">: </w:t>
      </w:r>
      <w:r>
        <w:rPr>
          <w:rFonts w:hint="eastAsia" w:cs="Times New Roman"/>
          <w:b w:val="0"/>
          <w:bCs w:val="0"/>
          <w:i/>
          <w:iCs/>
          <w:sz w:val="20"/>
          <w:szCs w:val="20"/>
          <w:lang w:val="en-US" w:eastAsia="zh-CN"/>
        </w:rPr>
        <w:t xml:space="preserve">The triggering timing configured for distanced/time-based </w:t>
      </w:r>
      <w:r>
        <w:rPr>
          <w:rFonts w:hint="default" w:ascii="Times New Roman" w:hAnsi="Times New Roman" w:cs="Times New Roman"/>
          <w:b w:val="0"/>
          <w:bCs w:val="0"/>
          <w:i/>
          <w:iCs/>
          <w:sz w:val="20"/>
          <w:szCs w:val="20"/>
        </w:rPr>
        <w:t xml:space="preserve">CHO </w:t>
      </w:r>
      <w:r>
        <w:rPr>
          <w:rFonts w:hint="eastAsia"/>
          <w:b w:val="0"/>
          <w:bCs w:val="0"/>
          <w:i/>
          <w:iCs/>
          <w:lang w:val="en-US" w:eastAsia="zh-CN"/>
        </w:rPr>
        <w:t>is normally set during the period when source and target cell are partially overlapped, which makes it possible to trigger CHO earlier without jeopardize the successful completion of HO to target.</w:t>
      </w:r>
    </w:p>
    <w:p>
      <w:pPr>
        <w:rPr>
          <w:rFonts w:hint="default" w:ascii="Times New Roman" w:hAnsi="Times New Roman" w:cs="Times New Roman"/>
          <w:b w:val="0"/>
          <w:bCs w:val="0"/>
          <w:i/>
          <w:iCs/>
          <w:sz w:val="20"/>
          <w:szCs w:val="20"/>
          <w:lang w:val="en-US"/>
        </w:rPr>
      </w:pPr>
      <w:r>
        <w:rPr>
          <w:rFonts w:hint="default" w:ascii="Times New Roman" w:hAnsi="Times New Roman" w:cs="Times New Roman"/>
          <w:b w:val="0"/>
          <w:bCs w:val="0"/>
          <w:i/>
          <w:iCs/>
          <w:sz w:val="20"/>
          <w:szCs w:val="20"/>
        </w:rPr>
        <w:t xml:space="preserve">Observation </w:t>
      </w:r>
      <w:r>
        <w:rPr>
          <w:rFonts w:hint="eastAsia" w:cs="Times New Roman"/>
          <w:b w:val="0"/>
          <w:bCs w:val="0"/>
          <w:i/>
          <w:iCs/>
          <w:sz w:val="20"/>
          <w:szCs w:val="20"/>
          <w:lang w:val="en-US" w:eastAsia="zh-CN"/>
        </w:rPr>
        <w:t>7</w:t>
      </w:r>
      <w:r>
        <w:rPr>
          <w:rFonts w:hint="default" w:ascii="Times New Roman" w:hAnsi="Times New Roman" w:cs="Times New Roman"/>
          <w:b w:val="0"/>
          <w:bCs w:val="0"/>
          <w:i/>
          <w:iCs/>
          <w:sz w:val="20"/>
          <w:szCs w:val="20"/>
        </w:rPr>
        <w:t xml:space="preserve">: </w:t>
      </w:r>
      <w:r>
        <w:rPr>
          <w:rFonts w:hint="eastAsia" w:cs="Times New Roman"/>
          <w:b w:val="0"/>
          <w:bCs w:val="0"/>
          <w:i/>
          <w:iCs/>
          <w:sz w:val="20"/>
          <w:szCs w:val="20"/>
          <w:lang w:val="en-US" w:eastAsia="zh-CN"/>
        </w:rPr>
        <w:t xml:space="preserve">In case there is sudden increase of connection load to source (e.g., in case disaster when TN is not available) </w:t>
      </w:r>
      <w:r>
        <w:rPr>
          <w:rFonts w:hint="default" w:ascii="Times New Roman" w:hAnsi="Times New Roman" w:cs="Times New Roman"/>
          <w:b w:val="0"/>
          <w:bCs w:val="0"/>
          <w:i/>
          <w:iCs/>
          <w:sz w:val="20"/>
          <w:szCs w:val="20"/>
        </w:rPr>
        <w:t xml:space="preserve">NW </w:t>
      </w:r>
      <w:r>
        <w:rPr>
          <w:rFonts w:hint="eastAsia" w:cs="Times New Roman"/>
          <w:b w:val="0"/>
          <w:bCs w:val="0"/>
          <w:i/>
          <w:iCs/>
          <w:sz w:val="20"/>
          <w:szCs w:val="20"/>
          <w:lang w:val="en-US" w:eastAsia="zh-CN"/>
        </w:rPr>
        <w:t>can</w:t>
      </w:r>
      <w:r>
        <w:rPr>
          <w:rFonts w:hint="default" w:ascii="Times New Roman" w:hAnsi="Times New Roman" w:cs="Times New Roman"/>
          <w:b w:val="0"/>
          <w:bCs w:val="0"/>
          <w:i/>
          <w:iCs/>
          <w:sz w:val="20"/>
          <w:szCs w:val="20"/>
        </w:rPr>
        <w:t xml:space="preserve"> handover UE to CHO candidate cells before CHO is triggered </w:t>
      </w:r>
      <w:r>
        <w:rPr>
          <w:rFonts w:hint="eastAsia" w:cs="Times New Roman"/>
          <w:b w:val="0"/>
          <w:bCs w:val="0"/>
          <w:i/>
          <w:iCs/>
          <w:sz w:val="20"/>
          <w:szCs w:val="20"/>
          <w:lang w:val="en-US" w:eastAsia="zh-CN"/>
        </w:rPr>
        <w:t>to off-</w:t>
      </w:r>
      <w:r>
        <w:rPr>
          <w:rFonts w:hint="default" w:ascii="Times New Roman" w:hAnsi="Times New Roman" w:cs="Times New Roman"/>
          <w:b w:val="0"/>
          <w:bCs w:val="0"/>
          <w:i/>
          <w:iCs/>
          <w:sz w:val="20"/>
          <w:szCs w:val="20"/>
        </w:rPr>
        <w:t xml:space="preserve">load </w:t>
      </w:r>
      <w:r>
        <w:rPr>
          <w:rFonts w:hint="eastAsia" w:cs="Times New Roman"/>
          <w:b w:val="0"/>
          <w:bCs w:val="0"/>
          <w:i/>
          <w:iCs/>
          <w:sz w:val="20"/>
          <w:szCs w:val="20"/>
          <w:lang w:val="en-US" w:eastAsia="zh-CN"/>
        </w:rPr>
        <w:t>traffic from source.</w:t>
      </w:r>
    </w:p>
    <w:p>
      <w:pPr>
        <w:rPr>
          <w:rFonts w:hint="default" w:ascii="Times New Roman" w:hAnsi="Times New Roman" w:cs="Times New Roman"/>
          <w:b w:val="0"/>
          <w:bCs w:val="0"/>
          <w:i/>
          <w:iCs/>
          <w:sz w:val="20"/>
          <w:szCs w:val="20"/>
        </w:rPr>
      </w:pPr>
      <w:r>
        <w:rPr>
          <w:rFonts w:hint="default" w:ascii="Times New Roman" w:hAnsi="Times New Roman" w:cs="Times New Roman"/>
          <w:b w:val="0"/>
          <w:bCs w:val="0"/>
          <w:i/>
          <w:iCs/>
          <w:sz w:val="20"/>
          <w:szCs w:val="20"/>
        </w:rPr>
        <w:t xml:space="preserve">Observation </w:t>
      </w:r>
      <w:r>
        <w:rPr>
          <w:rFonts w:hint="eastAsia" w:cs="Times New Roman"/>
          <w:b w:val="0"/>
          <w:bCs w:val="0"/>
          <w:i/>
          <w:iCs/>
          <w:sz w:val="20"/>
          <w:szCs w:val="20"/>
          <w:lang w:val="en-US" w:eastAsia="zh-CN"/>
        </w:rPr>
        <w:t>8</w:t>
      </w:r>
      <w:r>
        <w:rPr>
          <w:rFonts w:hint="default" w:ascii="Times New Roman" w:hAnsi="Times New Roman" w:cs="Times New Roman"/>
          <w:b w:val="0"/>
          <w:bCs w:val="0"/>
          <w:i/>
          <w:iCs/>
          <w:sz w:val="20"/>
          <w:szCs w:val="20"/>
        </w:rPr>
        <w:t>: Reduced HO command size also helps improv</w:t>
      </w:r>
      <w:r>
        <w:rPr>
          <w:rFonts w:hint="default" w:ascii="Times New Roman" w:hAnsi="Times New Roman" w:cs="Times New Roman"/>
          <w:b w:val="0"/>
          <w:bCs w:val="0"/>
          <w:i/>
          <w:iCs/>
          <w:sz w:val="20"/>
          <w:szCs w:val="20"/>
          <w:lang w:val="en-US" w:eastAsia="zh-CN"/>
        </w:rPr>
        <w:t>ing</w:t>
      </w:r>
      <w:r>
        <w:rPr>
          <w:rFonts w:hint="default" w:ascii="Times New Roman" w:hAnsi="Times New Roman" w:cs="Times New Roman"/>
          <w:b w:val="0"/>
          <w:bCs w:val="0"/>
          <w:i/>
          <w:iCs/>
          <w:sz w:val="20"/>
          <w:szCs w:val="20"/>
        </w:rPr>
        <w:t xml:space="preserve"> the successful rate of reception of RRCReconfigurtaion message therefore improve</w:t>
      </w:r>
      <w:r>
        <w:rPr>
          <w:rFonts w:hint="default" w:ascii="Times New Roman" w:hAnsi="Times New Roman" w:cs="Times New Roman"/>
          <w:b w:val="0"/>
          <w:bCs w:val="0"/>
          <w:i/>
          <w:iCs/>
          <w:sz w:val="20"/>
          <w:szCs w:val="20"/>
          <w:lang w:val="en-US" w:eastAsia="zh-CN"/>
        </w:rPr>
        <w:t>s</w:t>
      </w:r>
      <w:r>
        <w:rPr>
          <w:rFonts w:hint="default" w:ascii="Times New Roman" w:hAnsi="Times New Roman" w:cs="Times New Roman"/>
          <w:b w:val="0"/>
          <w:bCs w:val="0"/>
          <w:i/>
          <w:iCs/>
          <w:sz w:val="20"/>
          <w:szCs w:val="20"/>
        </w:rPr>
        <w:t xml:space="preserve"> overall HO performance.</w:t>
      </w:r>
    </w:p>
    <w:p>
      <w:pPr>
        <w:jc w:val="left"/>
        <w:rPr>
          <w:rFonts w:hint="default" w:ascii="Times New Roman" w:hAnsi="Times New Roman" w:cs="Times New Roman"/>
          <w:b/>
          <w:sz w:val="20"/>
          <w:szCs w:val="20"/>
        </w:rPr>
      </w:pPr>
      <w:r>
        <w:rPr>
          <w:rFonts w:hint="default" w:ascii="Times New Roman" w:hAnsi="Times New Roman" w:cs="Times New Roman"/>
          <w:b/>
          <w:sz w:val="20"/>
          <w:szCs w:val="20"/>
        </w:rPr>
        <w:t xml:space="preserve">Proposal </w:t>
      </w:r>
      <w:r>
        <w:rPr>
          <w:rFonts w:hint="eastAsia" w:cs="Times New Roman"/>
          <w:b/>
          <w:sz w:val="20"/>
          <w:szCs w:val="20"/>
          <w:lang w:val="en-US" w:eastAsia="zh-CN"/>
        </w:rPr>
        <w:t>4</w:t>
      </w:r>
      <w:r>
        <w:rPr>
          <w:rFonts w:hint="default" w:ascii="Times New Roman" w:hAnsi="Times New Roman" w:cs="Times New Roman"/>
          <w:b/>
          <w:sz w:val="20"/>
          <w:szCs w:val="20"/>
        </w:rPr>
        <w:t xml:space="preserve">: The CHO candidate target cell identity or index can be included in the HO command to trigger conventional handover to this cell thus the detailed configuration would be omitted and UE should apply the </w:t>
      </w:r>
      <w:r>
        <w:rPr>
          <w:rFonts w:hint="default" w:ascii="Times New Roman" w:hAnsi="Times New Roman" w:cs="Times New Roman"/>
          <w:b/>
          <w:i/>
          <w:sz w:val="20"/>
          <w:szCs w:val="20"/>
        </w:rPr>
        <w:t>condRRCReconfig</w:t>
      </w:r>
      <w:r>
        <w:rPr>
          <w:rFonts w:hint="default" w:ascii="Times New Roman" w:hAnsi="Times New Roman" w:cs="Times New Roman"/>
          <w:b/>
          <w:sz w:val="20"/>
          <w:szCs w:val="20"/>
        </w:rPr>
        <w:t xml:space="preserve"> stored for this cell.</w:t>
      </w:r>
    </w:p>
    <w:p>
      <w:pPr>
        <w:numPr>
          <w:ilvl w:val="0"/>
          <w:numId w:val="5"/>
        </w:numPr>
        <w:bidi w:val="0"/>
        <w:rPr>
          <w:rFonts w:hint="default"/>
          <w:b/>
          <w:bCs/>
          <w:highlight w:val="yellow"/>
          <w:lang w:val="en-US" w:eastAsia="zh-CN"/>
        </w:rPr>
      </w:pPr>
      <w:r>
        <w:rPr>
          <w:rFonts w:hint="eastAsia"/>
          <w:b/>
          <w:bCs/>
          <w:highlight w:val="yellow"/>
          <w:lang w:val="en-US" w:eastAsia="zh-CN"/>
        </w:rPr>
        <w:t>PCI unchanged solution</w:t>
      </w:r>
    </w:p>
    <w:p>
      <w:pPr>
        <w:numPr>
          <w:ilvl w:val="0"/>
          <w:numId w:val="0"/>
        </w:numPr>
        <w:ind w:leftChars="0"/>
        <w:rPr>
          <w:rFonts w:hint="eastAsia"/>
          <w:b w:val="0"/>
          <w:bCs w:val="0"/>
          <w:i/>
          <w:iCs/>
          <w:lang w:val="en-US" w:eastAsia="zh-CN"/>
        </w:rPr>
      </w:pPr>
      <w:r>
        <w:rPr>
          <w:rFonts w:hint="eastAsia"/>
          <w:b w:val="0"/>
          <w:bCs w:val="0"/>
          <w:i/>
          <w:iCs/>
          <w:lang w:val="en-US" w:eastAsia="zh-CN"/>
        </w:rPr>
        <w:t>Observation 9: The switch timing for PCI unchanged scenarios is predictable and is common for all UEs within the cell, therefore it is feasible to use system information (e.g., SIB19) to inform UE the satellite switch timing.</w:t>
      </w:r>
    </w:p>
    <w:p>
      <w:pPr>
        <w:numPr>
          <w:ilvl w:val="0"/>
          <w:numId w:val="0"/>
        </w:numPr>
        <w:ind w:leftChars="0"/>
        <w:rPr>
          <w:rFonts w:hint="eastAsia"/>
          <w:b w:val="0"/>
          <w:bCs w:val="0"/>
          <w:i/>
          <w:iCs/>
          <w:lang w:val="en-US" w:eastAsia="zh-CN"/>
        </w:rPr>
      </w:pPr>
      <w:r>
        <w:rPr>
          <w:rFonts w:hint="eastAsia"/>
          <w:b w:val="0"/>
          <w:bCs w:val="0"/>
          <w:i/>
          <w:iCs/>
          <w:lang w:val="en-US" w:eastAsia="zh-CN"/>
        </w:rPr>
        <w:t>Observation 10: There are two options can be considered to indicate the time when UE needs to start switching to the up coming satellite:</w:t>
      </w:r>
    </w:p>
    <w:p>
      <w:pPr>
        <w:numPr>
          <w:ilvl w:val="0"/>
          <w:numId w:val="6"/>
        </w:numPr>
        <w:ind w:left="420" w:leftChars="0" w:hanging="420" w:firstLineChars="0"/>
        <w:rPr>
          <w:rFonts w:hint="default"/>
          <w:b w:val="0"/>
          <w:bCs w:val="0"/>
          <w:i/>
          <w:iCs/>
          <w:lang w:val="en-US" w:eastAsia="zh-CN"/>
        </w:rPr>
      </w:pPr>
      <w:r>
        <w:rPr>
          <w:rFonts w:hint="eastAsia"/>
          <w:b w:val="0"/>
          <w:bCs w:val="0"/>
          <w:i/>
          <w:iCs/>
          <w:lang w:val="en-US" w:eastAsia="zh-CN"/>
        </w:rPr>
        <w:t>Opt1: Explicit indication plus legacy t-service</w:t>
      </w:r>
    </w:p>
    <w:p>
      <w:pPr>
        <w:numPr>
          <w:ilvl w:val="0"/>
          <w:numId w:val="6"/>
        </w:numPr>
        <w:ind w:left="420" w:leftChars="0" w:hanging="420" w:firstLineChars="0"/>
        <w:rPr>
          <w:rFonts w:hint="default"/>
          <w:b w:val="0"/>
          <w:bCs w:val="0"/>
          <w:i/>
          <w:iCs/>
          <w:lang w:val="en-US" w:eastAsia="zh-CN"/>
        </w:rPr>
      </w:pPr>
      <w:r>
        <w:rPr>
          <w:rFonts w:hint="eastAsia"/>
          <w:b w:val="0"/>
          <w:bCs w:val="0"/>
          <w:i/>
          <w:iCs/>
          <w:lang w:val="en-US" w:eastAsia="zh-CN"/>
        </w:rPr>
        <w:t>Opt2: New indication to indicate the satellite switch timing</w:t>
      </w:r>
    </w:p>
    <w:p>
      <w:pPr>
        <w:numPr>
          <w:ilvl w:val="0"/>
          <w:numId w:val="0"/>
        </w:numPr>
        <w:ind w:leftChars="0"/>
        <w:rPr>
          <w:rFonts w:hint="eastAsia"/>
          <w:b w:val="0"/>
          <w:bCs w:val="0"/>
          <w:i/>
          <w:iCs/>
          <w:lang w:val="en-US" w:eastAsia="zh-CN"/>
        </w:rPr>
      </w:pPr>
      <w:r>
        <w:rPr>
          <w:rFonts w:hint="eastAsia"/>
          <w:b w:val="0"/>
          <w:bCs w:val="0"/>
          <w:i/>
          <w:iCs/>
          <w:lang w:val="en-US" w:eastAsia="zh-CN"/>
        </w:rPr>
        <w:t>Observation 11: Option 1 reuse Legacy field t-service to indicate when current serving cell will stop provide service to current area where additional indication (e.g.,one-bit indication) is used to inform UE to keep the same PCI after serving link switch.</w:t>
      </w:r>
    </w:p>
    <w:p>
      <w:pPr>
        <w:numPr>
          <w:ilvl w:val="0"/>
          <w:numId w:val="0"/>
        </w:numPr>
        <w:ind w:leftChars="0"/>
        <w:rPr>
          <w:rFonts w:hint="default"/>
          <w:b w:val="0"/>
          <w:bCs w:val="0"/>
          <w:i/>
          <w:iCs/>
          <w:lang w:val="en-US" w:eastAsia="zh-CN"/>
        </w:rPr>
      </w:pPr>
      <w:r>
        <w:rPr>
          <w:rFonts w:hint="eastAsia"/>
          <w:b w:val="0"/>
          <w:bCs w:val="0"/>
          <w:i/>
          <w:iCs/>
          <w:lang w:val="en-US" w:eastAsia="zh-CN"/>
        </w:rPr>
        <w:t>Observation 12: Option 2 using a new t-service like IE to indicate the satellite timing where the presence of this new IE can be considered as implicit indication to UE that the same PCI is used, which is more future proofing and flexible.</w:t>
      </w:r>
    </w:p>
    <w:p>
      <w:pPr>
        <w:rPr>
          <w:rFonts w:hint="default"/>
          <w:b w:val="0"/>
          <w:bCs w:val="0"/>
          <w:i/>
          <w:iCs/>
          <w:lang w:val="en-US" w:eastAsia="zh-CN"/>
        </w:rPr>
      </w:pPr>
      <w:r>
        <w:rPr>
          <w:rFonts w:hint="eastAsia"/>
          <w:b w:val="0"/>
          <w:bCs w:val="0"/>
          <w:i/>
          <w:iCs/>
          <w:lang w:val="en-US" w:eastAsia="zh-CN"/>
        </w:rPr>
        <w:t xml:space="preserve">Observation 13: Below UE actions are expected in case hard satellite switch without changing PCI: </w:t>
      </w:r>
    </w:p>
    <w:p>
      <w:pPr>
        <w:numPr>
          <w:ilvl w:val="0"/>
          <w:numId w:val="7"/>
        </w:numPr>
        <w:spacing w:line="240" w:lineRule="auto"/>
        <w:ind w:left="420" w:leftChars="0" w:hanging="420" w:firstLineChars="0"/>
        <w:rPr>
          <w:rFonts w:hint="default"/>
          <w:b w:val="0"/>
          <w:bCs w:val="0"/>
          <w:i/>
          <w:iCs/>
          <w:lang w:val="en-US" w:eastAsia="zh-CN"/>
        </w:rPr>
      </w:pPr>
      <w:r>
        <w:rPr>
          <w:rFonts w:hint="eastAsia"/>
          <w:b w:val="0"/>
          <w:bCs w:val="0"/>
          <w:i/>
          <w:iCs/>
          <w:lang w:val="en-US" w:eastAsia="zh-CN"/>
        </w:rPr>
        <w:t>Flush HARQ buffer and stop uplink transmissions if any until regain uplink synchronization to target</w:t>
      </w:r>
    </w:p>
    <w:p>
      <w:pPr>
        <w:numPr>
          <w:ilvl w:val="0"/>
          <w:numId w:val="7"/>
        </w:numPr>
        <w:spacing w:line="240" w:lineRule="auto"/>
        <w:ind w:left="420" w:leftChars="0" w:hanging="420" w:firstLineChars="0"/>
        <w:rPr>
          <w:rFonts w:hint="default"/>
          <w:b w:val="0"/>
          <w:bCs w:val="0"/>
          <w:i/>
          <w:iCs/>
          <w:lang w:val="en-US" w:eastAsia="zh-CN"/>
        </w:rPr>
      </w:pPr>
      <w:r>
        <w:rPr>
          <w:rFonts w:hint="eastAsia"/>
          <w:b w:val="0"/>
          <w:bCs w:val="0"/>
          <w:i/>
          <w:iCs/>
          <w:lang w:val="en-US" w:eastAsia="zh-CN"/>
        </w:rPr>
        <w:t>Reacquire SIB19 from target satellite to obtain necessary assisting information for synchronization</w:t>
      </w:r>
    </w:p>
    <w:p>
      <w:pPr>
        <w:numPr>
          <w:ilvl w:val="0"/>
          <w:numId w:val="7"/>
        </w:numPr>
        <w:spacing w:line="240" w:lineRule="auto"/>
        <w:ind w:left="420" w:leftChars="0" w:hanging="420" w:firstLineChars="0"/>
        <w:rPr>
          <w:rFonts w:hint="default"/>
          <w:b w:val="0"/>
          <w:bCs w:val="0"/>
          <w:i/>
          <w:iCs/>
          <w:lang w:val="en-US" w:eastAsia="zh-CN"/>
        </w:rPr>
      </w:pPr>
      <w:r>
        <w:rPr>
          <w:rFonts w:hint="eastAsia"/>
          <w:b w:val="0"/>
          <w:bCs w:val="0"/>
          <w:i/>
          <w:iCs/>
          <w:lang w:val="en-US" w:eastAsia="zh-CN"/>
        </w:rPr>
        <w:t>Initiate RACH to fine-tuning TA, which is needed only when there is any UL data arriving or can be trigger by PDCCH order in case DL data arrival</w:t>
      </w:r>
    </w:p>
    <w:p>
      <w:pPr>
        <w:numPr>
          <w:ilvl w:val="0"/>
          <w:numId w:val="0"/>
        </w:numPr>
        <w:ind w:leftChars="0"/>
        <w:rPr>
          <w:rFonts w:hint="default"/>
          <w:b/>
          <w:bCs/>
          <w:lang w:val="en-US" w:eastAsia="zh-CN"/>
        </w:rPr>
      </w:pPr>
      <w:r>
        <w:rPr>
          <w:rFonts w:hint="eastAsia"/>
          <w:b w:val="0"/>
          <w:bCs w:val="0"/>
          <w:i/>
          <w:iCs/>
          <w:lang w:val="en-US" w:eastAsia="zh-CN"/>
        </w:rPr>
        <w:t>Observation 14: RAN2 can study if the same solutions adopted for hard satellite switch can be reused after RAN1 confirms the feasibility to support soft satellite switch without changing PCI.</w:t>
      </w:r>
    </w:p>
    <w:p>
      <w:pPr>
        <w:rPr>
          <w:rFonts w:hint="default"/>
          <w:b/>
          <w:bCs/>
          <w:lang w:val="en-US" w:eastAsia="zh-CN"/>
        </w:rPr>
      </w:pPr>
      <w:r>
        <w:rPr>
          <w:rFonts w:hint="eastAsia"/>
          <w:b/>
          <w:bCs/>
          <w:lang w:val="en-US" w:eastAsia="zh-CN"/>
        </w:rPr>
        <w:t xml:space="preserve">Proposal 5: In NTN, </w:t>
      </w:r>
      <w:r>
        <w:rPr>
          <w:rFonts w:hint="eastAsia" w:cs="Times New Roman"/>
          <w:b/>
          <w:bCs/>
          <w:vertAlign w:val="baseline"/>
          <w:lang w:val="en-US" w:eastAsia="zh-CN"/>
        </w:rPr>
        <w:t>a new t-service like IE is introduced in system information (e.g.,SIB19) to indicate t</w:t>
      </w:r>
      <w:r>
        <w:rPr>
          <w:rFonts w:hint="eastAsia"/>
          <w:b/>
          <w:bCs/>
          <w:lang w:val="en-US" w:eastAsia="zh-CN"/>
        </w:rPr>
        <w:t>he time when UE needs to start switching to the up coming satellite</w:t>
      </w:r>
      <w:r>
        <w:rPr>
          <w:rFonts w:hint="eastAsia" w:cs="Times New Roman"/>
          <w:b/>
          <w:bCs/>
          <w:vertAlign w:val="baseline"/>
          <w:lang w:val="en-US" w:eastAsia="zh-CN"/>
        </w:rPr>
        <w:t>, where the presence of this IE is used as implicit indication that the same PCI is used after the satellite switch.</w:t>
      </w:r>
    </w:p>
    <w:p>
      <w:pPr>
        <w:numPr>
          <w:ilvl w:val="0"/>
          <w:numId w:val="0"/>
        </w:numPr>
        <w:ind w:leftChars="0"/>
        <w:rPr>
          <w:rFonts w:hint="default"/>
          <w:b/>
          <w:bCs/>
          <w:lang w:val="en-US" w:eastAsia="zh-CN"/>
        </w:rPr>
      </w:pPr>
      <w:r>
        <w:rPr>
          <w:rFonts w:hint="eastAsia"/>
          <w:b/>
          <w:bCs/>
          <w:lang w:val="en-US" w:eastAsia="zh-CN"/>
        </w:rPr>
        <w:t>Proposal 6: If provided with the new IE as discussed in P5 , UE consider TimeAlignmentTimer timer and T430 as expired at the time indicated by the new IE.</w:t>
      </w:r>
    </w:p>
    <w:p>
      <w:pPr>
        <w:numPr>
          <w:ilvl w:val="0"/>
          <w:numId w:val="0"/>
        </w:numPr>
        <w:ind w:leftChars="0"/>
        <w:rPr>
          <w:rFonts w:hint="default" w:ascii="Times New Roman" w:hAnsi="Times New Roman" w:cs="Times New Roman"/>
          <w:bCs/>
          <w:kern w:val="0"/>
          <w:sz w:val="20"/>
          <w:szCs w:val="20"/>
        </w:rPr>
      </w:pPr>
      <w:r>
        <w:rPr>
          <w:rFonts w:hint="eastAsia"/>
          <w:b/>
          <w:bCs/>
          <w:lang w:val="en-US" w:eastAsia="zh-CN"/>
        </w:rPr>
        <w:t xml:space="preserve">Proposal 7: Send an LS to RAN1 asking if </w:t>
      </w:r>
      <w:bookmarkStart w:id="8" w:name="_GoBack"/>
      <w:bookmarkEnd w:id="8"/>
      <w:r>
        <w:rPr>
          <w:rFonts w:hint="eastAsia"/>
          <w:b/>
          <w:bCs/>
          <w:lang w:val="en-US" w:eastAsia="zh-CN"/>
        </w:rPr>
        <w:t>it is feasible to support soft satellite switch without changing PCI.</w:t>
      </w:r>
    </w:p>
    <w:p>
      <w:pPr>
        <w:pStyle w:val="2"/>
        <w:widowControl/>
        <w:numPr>
          <w:ilvl w:val="0"/>
          <w:numId w:val="0"/>
        </w:numPr>
        <w:pBdr>
          <w:top w:val="single" w:color="auto" w:sz="12" w:space="3"/>
        </w:pBdr>
        <w:tabs>
          <w:tab w:val="clear" w:pos="432"/>
        </w:tabs>
        <w:overflowPunct w:val="0"/>
        <w:autoSpaceDE w:val="0"/>
        <w:autoSpaceDN w:val="0"/>
        <w:adjustRightInd w:val="0"/>
        <w:spacing w:before="240" w:after="180" w:line="240" w:lineRule="auto"/>
        <w:ind w:leftChars="0"/>
        <w:jc w:val="left"/>
        <w:textAlignment w:val="baseline"/>
        <w:rPr>
          <w:rFonts w:ascii="Arial" w:hAnsi="Arial" w:cs="Arial"/>
          <w:b w:val="0"/>
          <w:bCs w:val="0"/>
          <w:kern w:val="0"/>
          <w:sz w:val="32"/>
          <w:szCs w:val="36"/>
        </w:rPr>
        <w:sectPr>
          <w:headerReference r:id="rId3" w:type="default"/>
          <w:footerReference r:id="rId4" w:type="default"/>
          <w:footerReference r:id="rId5" w:type="even"/>
          <w:pgSz w:w="11906" w:h="16838"/>
          <w:pgMar w:top="1440" w:right="1440" w:bottom="1440" w:left="1417" w:header="851" w:footer="992" w:gutter="0"/>
          <w:cols w:space="720" w:num="1"/>
          <w:docGrid w:type="lines" w:linePitch="312" w:charSpace="0"/>
        </w:sect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r>
        <w:rPr>
          <w:rFonts w:hint="eastAsia" w:ascii="Arial" w:hAnsi="Arial" w:cs="Arial"/>
          <w:b w:val="0"/>
          <w:bCs w:val="0"/>
          <w:kern w:val="0"/>
          <w:sz w:val="32"/>
          <w:szCs w:val="36"/>
          <w:lang w:val="en-US" w:eastAsia="zh-CN"/>
        </w:rPr>
        <w:t xml:space="preserve"> </w:t>
      </w:r>
    </w:p>
    <w:p>
      <w:pPr>
        <w:numPr>
          <w:ilvl w:val="0"/>
          <w:numId w:val="8"/>
        </w:numPr>
        <w:spacing w:before="156"/>
        <w:rPr>
          <w:rFonts w:hint="eastAsia"/>
          <w:color w:val="000000"/>
          <w:sz w:val="22"/>
          <w:szCs w:val="22"/>
          <w:lang w:val="en-US" w:eastAsia="zh-CN"/>
        </w:rPr>
      </w:pPr>
      <w:r>
        <w:rPr>
          <w:rFonts w:hint="eastAsia"/>
          <w:color w:val="000000"/>
          <w:sz w:val="22"/>
          <w:szCs w:val="22"/>
          <w:lang w:val="en-US" w:eastAsia="zh-CN"/>
        </w:rPr>
        <w:t>R2-2301901</w:t>
      </w:r>
      <w:r>
        <w:rPr>
          <w:rFonts w:hint="eastAsia"/>
          <w:color w:val="000000"/>
          <w:sz w:val="22"/>
          <w:szCs w:val="22"/>
          <w:lang w:val="en-US" w:eastAsia="zh-CN"/>
        </w:rPr>
        <w:tab/>
      </w:r>
      <w:r>
        <w:rPr>
          <w:rFonts w:hint="eastAsia"/>
          <w:color w:val="000000"/>
          <w:sz w:val="22"/>
          <w:szCs w:val="22"/>
          <w:lang w:val="en-US" w:eastAsia="zh-CN"/>
        </w:rPr>
        <w:t>Report from Break-Out Session on NTN, IoT NTN and RedCap</w:t>
      </w:r>
      <w:r>
        <w:rPr>
          <w:rFonts w:hint="eastAsia"/>
          <w:color w:val="000000"/>
          <w:sz w:val="22"/>
          <w:szCs w:val="22"/>
          <w:lang w:val="en-US" w:eastAsia="zh-CN"/>
        </w:rPr>
        <w:tab/>
      </w:r>
      <w:r>
        <w:rPr>
          <w:rFonts w:hint="eastAsia"/>
          <w:color w:val="000000"/>
          <w:sz w:val="22"/>
          <w:szCs w:val="22"/>
          <w:lang w:val="en-US" w:eastAsia="zh-CN"/>
        </w:rPr>
        <w:t>Vice Chairman (ZTE)</w:t>
      </w:r>
      <w:r>
        <w:rPr>
          <w:rFonts w:hint="eastAsia"/>
          <w:color w:val="000000"/>
          <w:sz w:val="22"/>
          <w:szCs w:val="22"/>
          <w:lang w:val="en-US" w:eastAsia="zh-CN"/>
        </w:rPr>
        <w:tab/>
      </w:r>
      <w:r>
        <w:rPr>
          <w:rFonts w:hint="eastAsia"/>
          <w:color w:val="000000"/>
          <w:sz w:val="22"/>
          <w:szCs w:val="22"/>
          <w:lang w:val="en-US" w:eastAsia="zh-CN"/>
        </w:rPr>
        <w:t>Report</w:t>
      </w:r>
    </w:p>
    <w:p>
      <w:pPr>
        <w:numPr>
          <w:ilvl w:val="0"/>
          <w:numId w:val="8"/>
        </w:numPr>
        <w:spacing w:before="156"/>
        <w:rPr>
          <w:rFonts w:hint="eastAsia"/>
          <w:color w:val="000000"/>
          <w:sz w:val="22"/>
          <w:szCs w:val="22"/>
          <w:lang w:val="en-US" w:eastAsia="zh-CN"/>
        </w:rPr>
      </w:pPr>
      <w:r>
        <w:rPr>
          <w:rFonts w:hint="eastAsia"/>
          <w:color w:val="000000"/>
          <w:sz w:val="22"/>
          <w:szCs w:val="22"/>
          <w:lang w:val="en-US" w:eastAsia="zh-CN"/>
        </w:rPr>
        <w:fldChar w:fldCharType="begin"/>
      </w:r>
      <w:r>
        <w:rPr>
          <w:rFonts w:hint="eastAsia"/>
          <w:color w:val="000000"/>
          <w:sz w:val="22"/>
          <w:szCs w:val="22"/>
          <w:lang w:val="en-US" w:eastAsia="zh-CN"/>
        </w:rPr>
        <w:instrText xml:space="preserve"> HYPERLINK "file:///C:\\Data\\3GPP\\Extracts\\R2-2301269%20Service%20Link%20Switching%20with%20PCI%20unchanged.docx" \o "C:Data3GPPExtractsR2-2301269 Service Link Switching with PCI unchanged.docx" </w:instrText>
      </w:r>
      <w:r>
        <w:rPr>
          <w:rFonts w:hint="eastAsia"/>
          <w:color w:val="000000"/>
          <w:sz w:val="22"/>
          <w:szCs w:val="22"/>
          <w:lang w:val="en-US" w:eastAsia="zh-CN"/>
        </w:rPr>
        <w:fldChar w:fldCharType="separate"/>
      </w:r>
      <w:r>
        <w:rPr>
          <w:rFonts w:hint="eastAsia"/>
          <w:color w:val="000000"/>
          <w:sz w:val="22"/>
          <w:szCs w:val="22"/>
          <w:lang w:val="en-US" w:eastAsia="zh-CN"/>
        </w:rPr>
        <w:t>R2-2301269</w:t>
      </w:r>
      <w:r>
        <w:rPr>
          <w:rFonts w:hint="eastAsia"/>
          <w:color w:val="000000"/>
          <w:sz w:val="22"/>
          <w:szCs w:val="22"/>
          <w:lang w:val="en-US" w:eastAsia="zh-CN"/>
        </w:rPr>
        <w:fldChar w:fldCharType="end"/>
      </w:r>
      <w:r>
        <w:rPr>
          <w:rFonts w:hint="eastAsia"/>
          <w:color w:val="000000"/>
          <w:sz w:val="22"/>
          <w:szCs w:val="22"/>
          <w:lang w:val="en-US" w:eastAsia="zh-CN"/>
        </w:rPr>
        <w:tab/>
      </w:r>
      <w:r>
        <w:rPr>
          <w:rFonts w:hint="eastAsia"/>
          <w:color w:val="000000"/>
          <w:sz w:val="22"/>
          <w:szCs w:val="22"/>
          <w:lang w:val="en-US" w:eastAsia="zh-CN"/>
        </w:rPr>
        <w:t>Service Link Switching with PCI unchanged</w:t>
      </w:r>
      <w:r>
        <w:rPr>
          <w:rFonts w:hint="eastAsia"/>
          <w:color w:val="000000"/>
          <w:sz w:val="22"/>
          <w:szCs w:val="22"/>
          <w:lang w:val="en-US" w:eastAsia="zh-CN"/>
        </w:rPr>
        <w:tab/>
      </w:r>
      <w:r>
        <w:rPr>
          <w:rFonts w:hint="eastAsia"/>
          <w:color w:val="000000"/>
          <w:sz w:val="22"/>
          <w:szCs w:val="22"/>
          <w:lang w:val="en-US" w:eastAsia="zh-CN"/>
        </w:rPr>
        <w:t>CMCC,CATT,Huawei,HiSilicon,Lenovo,vivo</w:t>
      </w:r>
      <w:r>
        <w:rPr>
          <w:rFonts w:hint="eastAsia"/>
          <w:color w:val="000000"/>
          <w:sz w:val="22"/>
          <w:szCs w:val="22"/>
          <w:lang w:val="en-US" w:eastAsia="zh-CN"/>
        </w:rPr>
        <w:tab/>
      </w:r>
      <w:r>
        <w:rPr>
          <w:rFonts w:hint="eastAsia"/>
          <w:color w:val="000000"/>
          <w:sz w:val="22"/>
          <w:szCs w:val="22"/>
          <w:lang w:val="en-US" w:eastAsia="zh-CN"/>
        </w:rPr>
        <w:t>discussion</w:t>
      </w:r>
      <w:r>
        <w:rPr>
          <w:rFonts w:hint="eastAsia"/>
          <w:color w:val="000000"/>
          <w:sz w:val="22"/>
          <w:szCs w:val="22"/>
          <w:lang w:val="en-US" w:eastAsia="zh-CN"/>
        </w:rPr>
        <w:tab/>
      </w:r>
      <w:r>
        <w:rPr>
          <w:rFonts w:hint="eastAsia"/>
          <w:color w:val="000000"/>
          <w:sz w:val="22"/>
          <w:szCs w:val="22"/>
          <w:lang w:val="en-US" w:eastAsia="zh-CN"/>
        </w:rPr>
        <w:t>Rel-18</w:t>
      </w:r>
      <w:r>
        <w:rPr>
          <w:rFonts w:hint="eastAsia"/>
          <w:color w:val="000000"/>
          <w:sz w:val="22"/>
          <w:szCs w:val="22"/>
          <w:lang w:val="en-US" w:eastAsia="zh-CN"/>
        </w:rPr>
        <w:tab/>
      </w:r>
      <w:r>
        <w:rPr>
          <w:rFonts w:hint="eastAsia"/>
          <w:color w:val="000000"/>
          <w:sz w:val="22"/>
          <w:szCs w:val="22"/>
          <w:lang w:val="en-US" w:eastAsia="zh-CN"/>
        </w:rPr>
        <w:t>NR_NTN_enh</w:t>
      </w:r>
    </w:p>
    <w:p>
      <w:pPr>
        <w:numPr>
          <w:ilvl w:val="0"/>
          <w:numId w:val="0"/>
        </w:numPr>
        <w:spacing w:before="156"/>
        <w:rPr>
          <w:rFonts w:hint="eastAsia"/>
          <w:color w:val="000000"/>
          <w:sz w:val="22"/>
          <w:szCs w:val="22"/>
          <w:lang w:val="en-US" w:eastAsia="zh-CN"/>
        </w:rPr>
      </w:pPr>
    </w:p>
    <w:p>
      <w:pPr>
        <w:numPr>
          <w:ilvl w:val="0"/>
          <w:numId w:val="0"/>
        </w:numPr>
        <w:spacing w:before="156"/>
        <w:rPr>
          <w:rFonts w:hint="eastAsia"/>
          <w:color w:val="000000"/>
          <w:sz w:val="22"/>
          <w:szCs w:val="22"/>
          <w:lang w:val="en-US" w:eastAsia="zh-CN"/>
        </w:rPr>
      </w:pPr>
    </w:p>
    <w:p>
      <w:pPr>
        <w:rPr>
          <w:rFonts w:hint="default" w:ascii="Times New Roman" w:hAnsi="Times New Roman" w:cs="Times New Roman"/>
          <w:bCs/>
          <w:kern w:val="0"/>
          <w:sz w:val="20"/>
          <w:szCs w:val="20"/>
        </w:rPr>
      </w:pPr>
    </w:p>
    <w:sectPr>
      <w:pgSz w:w="11906" w:h="16838"/>
      <w:pgMar w:top="1440" w:right="1440"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4FA970"/>
    <w:multiLevelType w:val="singleLevel"/>
    <w:tmpl w:val="D44FA970"/>
    <w:lvl w:ilvl="0" w:tentative="0">
      <w:start w:val="1"/>
      <w:numFmt w:val="bullet"/>
      <w:lvlText w:val=""/>
      <w:lvlJc w:val="left"/>
      <w:pPr>
        <w:ind w:left="420" w:hanging="420"/>
      </w:pPr>
      <w:rPr>
        <w:rFonts w:hint="default" w:ascii="Wingdings" w:hAnsi="Wingdings"/>
      </w:rPr>
    </w:lvl>
  </w:abstractNum>
  <w:abstractNum w:abstractNumId="1">
    <w:nsid w:val="F4A0E5FF"/>
    <w:multiLevelType w:val="singleLevel"/>
    <w:tmpl w:val="F4A0E5FF"/>
    <w:lvl w:ilvl="0" w:tentative="0">
      <w:start w:val="1"/>
      <w:numFmt w:val="decimal"/>
      <w:suff w:val="space"/>
      <w:lvlText w:val="[%1]"/>
      <w:lvlJc w:val="left"/>
    </w:lvl>
  </w:abstractNum>
  <w:abstractNum w:abstractNumId="2">
    <w:nsid w:val="F64911C2"/>
    <w:multiLevelType w:val="singleLevel"/>
    <w:tmpl w:val="F64911C2"/>
    <w:lvl w:ilvl="0" w:tentative="0">
      <w:start w:val="1"/>
      <w:numFmt w:val="decimal"/>
      <w:suff w:val="space"/>
      <w:lvlText w:val="%1."/>
      <w:lvlJc w:val="left"/>
    </w:lvl>
  </w:abstractNum>
  <w:abstractNum w:abstractNumId="3">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16482C9C"/>
    <w:multiLevelType w:val="singleLevel"/>
    <w:tmpl w:val="16482C9C"/>
    <w:lvl w:ilvl="0" w:tentative="0">
      <w:start w:val="1"/>
      <w:numFmt w:val="bullet"/>
      <w:lvlText w:val=""/>
      <w:lvlJc w:val="left"/>
      <w:pPr>
        <w:ind w:left="420" w:hanging="420"/>
      </w:pPr>
      <w:rPr>
        <w:rFonts w:hint="default" w:ascii="Wingdings" w:hAnsi="Wingdings"/>
      </w:r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37B71DC"/>
    <w:multiLevelType w:val="singleLevel"/>
    <w:tmpl w:val="637B71DC"/>
    <w:lvl w:ilvl="0" w:tentative="0">
      <w:start w:val="1"/>
      <w:numFmt w:val="bullet"/>
      <w:lvlText w:val=""/>
      <w:lvlJc w:val="left"/>
      <w:pPr>
        <w:ind w:left="420" w:hanging="420"/>
      </w:pPr>
      <w:rPr>
        <w:rFonts w:hint="default" w:ascii="Wingdings" w:hAnsi="Wingdings"/>
      </w:rPr>
    </w:lvl>
  </w:abstractNum>
  <w:num w:numId="1">
    <w:abstractNumId w:val="3"/>
  </w:num>
  <w:num w:numId="2">
    <w:abstractNumId w:val="6"/>
  </w:num>
  <w:num w:numId="3">
    <w:abstractNumId w:val="4"/>
  </w:num>
  <w:num w:numId="4">
    <w:abstractNumId w:val="2"/>
  </w:num>
  <w:num w:numId="5">
    <w:abstractNumId w:val="7"/>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1D3F"/>
    <w:rsid w:val="00001D6A"/>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2B43"/>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81F"/>
    <w:rsid w:val="00062984"/>
    <w:rsid w:val="00063589"/>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6785"/>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40CF"/>
    <w:rsid w:val="000D6228"/>
    <w:rsid w:val="000D6D39"/>
    <w:rsid w:val="000E09FD"/>
    <w:rsid w:val="000E0C43"/>
    <w:rsid w:val="000E1125"/>
    <w:rsid w:val="000E1993"/>
    <w:rsid w:val="000E3B8A"/>
    <w:rsid w:val="000E5499"/>
    <w:rsid w:val="000E58FE"/>
    <w:rsid w:val="000E6390"/>
    <w:rsid w:val="000E7A4B"/>
    <w:rsid w:val="000F0022"/>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4F4"/>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1DA1"/>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319"/>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4F1"/>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5EBF"/>
    <w:rsid w:val="00286D9E"/>
    <w:rsid w:val="0029036D"/>
    <w:rsid w:val="00290E18"/>
    <w:rsid w:val="00291D54"/>
    <w:rsid w:val="00293A6E"/>
    <w:rsid w:val="00295507"/>
    <w:rsid w:val="00295842"/>
    <w:rsid w:val="00296302"/>
    <w:rsid w:val="00297A88"/>
    <w:rsid w:val="00297E40"/>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6DB2"/>
    <w:rsid w:val="002B6DDC"/>
    <w:rsid w:val="002B73AE"/>
    <w:rsid w:val="002C0864"/>
    <w:rsid w:val="002C0F12"/>
    <w:rsid w:val="002C3FF4"/>
    <w:rsid w:val="002C4649"/>
    <w:rsid w:val="002C52F5"/>
    <w:rsid w:val="002C5A22"/>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264"/>
    <w:rsid w:val="00310544"/>
    <w:rsid w:val="003110B2"/>
    <w:rsid w:val="00311F3D"/>
    <w:rsid w:val="00312C1A"/>
    <w:rsid w:val="00312DD1"/>
    <w:rsid w:val="00313308"/>
    <w:rsid w:val="0031414B"/>
    <w:rsid w:val="00314283"/>
    <w:rsid w:val="003144CA"/>
    <w:rsid w:val="00315418"/>
    <w:rsid w:val="00316470"/>
    <w:rsid w:val="00316E20"/>
    <w:rsid w:val="003171FD"/>
    <w:rsid w:val="00321077"/>
    <w:rsid w:val="00321692"/>
    <w:rsid w:val="00322390"/>
    <w:rsid w:val="003228D4"/>
    <w:rsid w:val="00322E28"/>
    <w:rsid w:val="00322EDB"/>
    <w:rsid w:val="003248F8"/>
    <w:rsid w:val="0032533C"/>
    <w:rsid w:val="003268BB"/>
    <w:rsid w:val="003275E3"/>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B72"/>
    <w:rsid w:val="003D42C7"/>
    <w:rsid w:val="003D5DFB"/>
    <w:rsid w:val="003D5F27"/>
    <w:rsid w:val="003D62CC"/>
    <w:rsid w:val="003D6A5E"/>
    <w:rsid w:val="003D7035"/>
    <w:rsid w:val="003D770D"/>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8ED"/>
    <w:rsid w:val="004109CF"/>
    <w:rsid w:val="00411350"/>
    <w:rsid w:val="004123C0"/>
    <w:rsid w:val="00413229"/>
    <w:rsid w:val="00413D6F"/>
    <w:rsid w:val="00414C20"/>
    <w:rsid w:val="00415023"/>
    <w:rsid w:val="00416B5E"/>
    <w:rsid w:val="004175F0"/>
    <w:rsid w:val="00420F17"/>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3FC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5F7"/>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107E"/>
    <w:rsid w:val="0049176F"/>
    <w:rsid w:val="004918AD"/>
    <w:rsid w:val="00492EA5"/>
    <w:rsid w:val="00493247"/>
    <w:rsid w:val="00494AAD"/>
    <w:rsid w:val="00494FC0"/>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3A7"/>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09BB"/>
    <w:rsid w:val="005339E6"/>
    <w:rsid w:val="00534869"/>
    <w:rsid w:val="00534F6A"/>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03A"/>
    <w:rsid w:val="00546957"/>
    <w:rsid w:val="00547409"/>
    <w:rsid w:val="0054755B"/>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385"/>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856"/>
    <w:rsid w:val="006521E7"/>
    <w:rsid w:val="00652C4B"/>
    <w:rsid w:val="00652C98"/>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1FB"/>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4D7D"/>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308A"/>
    <w:rsid w:val="006D4067"/>
    <w:rsid w:val="006D436D"/>
    <w:rsid w:val="006D4742"/>
    <w:rsid w:val="006D5430"/>
    <w:rsid w:val="006D614B"/>
    <w:rsid w:val="006D63EF"/>
    <w:rsid w:val="006D7C19"/>
    <w:rsid w:val="006D7CA8"/>
    <w:rsid w:val="006D7DC0"/>
    <w:rsid w:val="006E0220"/>
    <w:rsid w:val="006E0863"/>
    <w:rsid w:val="006E1867"/>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5EC6"/>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582C"/>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063"/>
    <w:rsid w:val="0074088F"/>
    <w:rsid w:val="00741230"/>
    <w:rsid w:val="00742659"/>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57A"/>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49AF"/>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C74D0"/>
    <w:rsid w:val="007D1324"/>
    <w:rsid w:val="007D1769"/>
    <w:rsid w:val="007D2587"/>
    <w:rsid w:val="007D36F2"/>
    <w:rsid w:val="007D405E"/>
    <w:rsid w:val="007D4D85"/>
    <w:rsid w:val="007D5695"/>
    <w:rsid w:val="007D59EE"/>
    <w:rsid w:val="007D5A25"/>
    <w:rsid w:val="007E014C"/>
    <w:rsid w:val="007E0813"/>
    <w:rsid w:val="007E0BC6"/>
    <w:rsid w:val="007E0F24"/>
    <w:rsid w:val="007E14CD"/>
    <w:rsid w:val="007E17B1"/>
    <w:rsid w:val="007E27C0"/>
    <w:rsid w:val="007E2BFA"/>
    <w:rsid w:val="007E2EFD"/>
    <w:rsid w:val="007E417F"/>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5891"/>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BB0"/>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680"/>
    <w:rsid w:val="00842AA3"/>
    <w:rsid w:val="00843379"/>
    <w:rsid w:val="008436F0"/>
    <w:rsid w:val="00843DAA"/>
    <w:rsid w:val="00843F40"/>
    <w:rsid w:val="00845DB8"/>
    <w:rsid w:val="00845E4F"/>
    <w:rsid w:val="00846BE0"/>
    <w:rsid w:val="008470CC"/>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8A1"/>
    <w:rsid w:val="008B0FDB"/>
    <w:rsid w:val="008B2AF7"/>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B2"/>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350F"/>
    <w:rsid w:val="008F4502"/>
    <w:rsid w:val="008F45D4"/>
    <w:rsid w:val="008F662A"/>
    <w:rsid w:val="00900370"/>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53C"/>
    <w:rsid w:val="0096081E"/>
    <w:rsid w:val="00960F8E"/>
    <w:rsid w:val="0096137E"/>
    <w:rsid w:val="00961C60"/>
    <w:rsid w:val="00961E92"/>
    <w:rsid w:val="009624E6"/>
    <w:rsid w:val="0096444D"/>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2E11"/>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42E6"/>
    <w:rsid w:val="009E619C"/>
    <w:rsid w:val="009E7020"/>
    <w:rsid w:val="009E7045"/>
    <w:rsid w:val="009E748B"/>
    <w:rsid w:val="009F012C"/>
    <w:rsid w:val="009F13FE"/>
    <w:rsid w:val="009F2244"/>
    <w:rsid w:val="009F2E2F"/>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37FF9"/>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6B27"/>
    <w:rsid w:val="00A5709E"/>
    <w:rsid w:val="00A57120"/>
    <w:rsid w:val="00A57123"/>
    <w:rsid w:val="00A5714F"/>
    <w:rsid w:val="00A6046D"/>
    <w:rsid w:val="00A6050B"/>
    <w:rsid w:val="00A612B9"/>
    <w:rsid w:val="00A624EA"/>
    <w:rsid w:val="00A63ABE"/>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616"/>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A7BF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1FEF"/>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6B5F"/>
    <w:rsid w:val="00B07968"/>
    <w:rsid w:val="00B07B19"/>
    <w:rsid w:val="00B10FBA"/>
    <w:rsid w:val="00B110E2"/>
    <w:rsid w:val="00B1189C"/>
    <w:rsid w:val="00B12666"/>
    <w:rsid w:val="00B126DA"/>
    <w:rsid w:val="00B1296D"/>
    <w:rsid w:val="00B15903"/>
    <w:rsid w:val="00B166C8"/>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5769"/>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0C22"/>
    <w:rsid w:val="00B615E7"/>
    <w:rsid w:val="00B61C12"/>
    <w:rsid w:val="00B6271A"/>
    <w:rsid w:val="00B6394A"/>
    <w:rsid w:val="00B6403B"/>
    <w:rsid w:val="00B64ABB"/>
    <w:rsid w:val="00B65BF6"/>
    <w:rsid w:val="00B66A64"/>
    <w:rsid w:val="00B66F1C"/>
    <w:rsid w:val="00B670CE"/>
    <w:rsid w:val="00B67B79"/>
    <w:rsid w:val="00B67E74"/>
    <w:rsid w:val="00B70262"/>
    <w:rsid w:val="00B716F8"/>
    <w:rsid w:val="00B7192C"/>
    <w:rsid w:val="00B72319"/>
    <w:rsid w:val="00B72EF4"/>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2A1C"/>
    <w:rsid w:val="00BE3213"/>
    <w:rsid w:val="00BE42CB"/>
    <w:rsid w:val="00BE6162"/>
    <w:rsid w:val="00BE6C9C"/>
    <w:rsid w:val="00BE6E9E"/>
    <w:rsid w:val="00BE6FC3"/>
    <w:rsid w:val="00BF0409"/>
    <w:rsid w:val="00BF0497"/>
    <w:rsid w:val="00BF0850"/>
    <w:rsid w:val="00BF08F6"/>
    <w:rsid w:val="00BF092B"/>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5767A"/>
    <w:rsid w:val="00C60064"/>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116B"/>
    <w:rsid w:val="00C82D97"/>
    <w:rsid w:val="00C83318"/>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1A9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3F75"/>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299"/>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1C36"/>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6A3B"/>
    <w:rsid w:val="00DE7478"/>
    <w:rsid w:val="00DF1FCE"/>
    <w:rsid w:val="00DF2709"/>
    <w:rsid w:val="00DF2CBF"/>
    <w:rsid w:val="00DF3BA1"/>
    <w:rsid w:val="00DF3CCE"/>
    <w:rsid w:val="00DF3FDD"/>
    <w:rsid w:val="00DF4CBC"/>
    <w:rsid w:val="00DF5370"/>
    <w:rsid w:val="00DF597F"/>
    <w:rsid w:val="00DF5E74"/>
    <w:rsid w:val="00DF6452"/>
    <w:rsid w:val="00DF6682"/>
    <w:rsid w:val="00DF6CC6"/>
    <w:rsid w:val="00DF7DED"/>
    <w:rsid w:val="00E0032E"/>
    <w:rsid w:val="00E0074D"/>
    <w:rsid w:val="00E007CD"/>
    <w:rsid w:val="00E0205D"/>
    <w:rsid w:val="00E03B13"/>
    <w:rsid w:val="00E03BE1"/>
    <w:rsid w:val="00E04060"/>
    <w:rsid w:val="00E0458A"/>
    <w:rsid w:val="00E048C6"/>
    <w:rsid w:val="00E06B20"/>
    <w:rsid w:val="00E0737F"/>
    <w:rsid w:val="00E1018A"/>
    <w:rsid w:val="00E10C7D"/>
    <w:rsid w:val="00E1155D"/>
    <w:rsid w:val="00E120F4"/>
    <w:rsid w:val="00E121B5"/>
    <w:rsid w:val="00E1226F"/>
    <w:rsid w:val="00E125F6"/>
    <w:rsid w:val="00E127C3"/>
    <w:rsid w:val="00E14C1A"/>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06D5"/>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040F"/>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18B3"/>
    <w:rsid w:val="00F429C0"/>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666"/>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AE0"/>
    <w:rsid w:val="00F96BAD"/>
    <w:rsid w:val="00F96C66"/>
    <w:rsid w:val="00F971E1"/>
    <w:rsid w:val="00F97D27"/>
    <w:rsid w:val="00FA20BF"/>
    <w:rsid w:val="00FA2F06"/>
    <w:rsid w:val="00FA34B5"/>
    <w:rsid w:val="00FA4FB5"/>
    <w:rsid w:val="00FA532D"/>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6B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B3BDF"/>
    <w:rsid w:val="019D4B3D"/>
    <w:rsid w:val="019F0207"/>
    <w:rsid w:val="01A02944"/>
    <w:rsid w:val="01A7517B"/>
    <w:rsid w:val="01A87132"/>
    <w:rsid w:val="01B354EB"/>
    <w:rsid w:val="01B409B2"/>
    <w:rsid w:val="01D02B7A"/>
    <w:rsid w:val="01D857EB"/>
    <w:rsid w:val="01DC451F"/>
    <w:rsid w:val="01DF6FE0"/>
    <w:rsid w:val="01E05D9F"/>
    <w:rsid w:val="01E2625D"/>
    <w:rsid w:val="01E4753D"/>
    <w:rsid w:val="01E6243E"/>
    <w:rsid w:val="01EB1953"/>
    <w:rsid w:val="01F6071A"/>
    <w:rsid w:val="02102D34"/>
    <w:rsid w:val="02105BCC"/>
    <w:rsid w:val="0213188C"/>
    <w:rsid w:val="02152C4D"/>
    <w:rsid w:val="02237F7F"/>
    <w:rsid w:val="02345B88"/>
    <w:rsid w:val="023B3250"/>
    <w:rsid w:val="02402B3C"/>
    <w:rsid w:val="02437D3E"/>
    <w:rsid w:val="024B45DB"/>
    <w:rsid w:val="02523498"/>
    <w:rsid w:val="026C0249"/>
    <w:rsid w:val="02746E99"/>
    <w:rsid w:val="02793CF5"/>
    <w:rsid w:val="027F11AC"/>
    <w:rsid w:val="028470E8"/>
    <w:rsid w:val="028A6146"/>
    <w:rsid w:val="028E3AD6"/>
    <w:rsid w:val="02907E51"/>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612BFA"/>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136A6F"/>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41673"/>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76937"/>
    <w:rsid w:val="083A7B9E"/>
    <w:rsid w:val="084562B7"/>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A7F8A"/>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3F3"/>
    <w:rsid w:val="0D0134FC"/>
    <w:rsid w:val="0D064EBC"/>
    <w:rsid w:val="0D120699"/>
    <w:rsid w:val="0D225767"/>
    <w:rsid w:val="0D2B1FFC"/>
    <w:rsid w:val="0D346C04"/>
    <w:rsid w:val="0D387415"/>
    <w:rsid w:val="0D474503"/>
    <w:rsid w:val="0D551567"/>
    <w:rsid w:val="0D555505"/>
    <w:rsid w:val="0D5D0752"/>
    <w:rsid w:val="0D5E7F80"/>
    <w:rsid w:val="0D602213"/>
    <w:rsid w:val="0D64193F"/>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7184E"/>
    <w:rsid w:val="0F0939B9"/>
    <w:rsid w:val="0F0E6CDB"/>
    <w:rsid w:val="0F2C59E9"/>
    <w:rsid w:val="0F3A2C70"/>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C53E40"/>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262ED"/>
    <w:rsid w:val="10E75ECD"/>
    <w:rsid w:val="10FC0194"/>
    <w:rsid w:val="10FE02D8"/>
    <w:rsid w:val="110C7CEA"/>
    <w:rsid w:val="110F2DD6"/>
    <w:rsid w:val="111202D6"/>
    <w:rsid w:val="111E737C"/>
    <w:rsid w:val="112070BC"/>
    <w:rsid w:val="11334554"/>
    <w:rsid w:val="11445096"/>
    <w:rsid w:val="114A0C38"/>
    <w:rsid w:val="114C7F4B"/>
    <w:rsid w:val="115B481D"/>
    <w:rsid w:val="118D3FE6"/>
    <w:rsid w:val="11903C21"/>
    <w:rsid w:val="11947738"/>
    <w:rsid w:val="11A35BC7"/>
    <w:rsid w:val="11B317D2"/>
    <w:rsid w:val="11D1452D"/>
    <w:rsid w:val="11D84916"/>
    <w:rsid w:val="11DE0123"/>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5C6348"/>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CC7E17"/>
    <w:rsid w:val="13D75C00"/>
    <w:rsid w:val="13E00116"/>
    <w:rsid w:val="13E30B7D"/>
    <w:rsid w:val="13ED04A7"/>
    <w:rsid w:val="13F24E08"/>
    <w:rsid w:val="13F92B2E"/>
    <w:rsid w:val="13FE1C03"/>
    <w:rsid w:val="1402132F"/>
    <w:rsid w:val="14074EC8"/>
    <w:rsid w:val="140947EE"/>
    <w:rsid w:val="142373DC"/>
    <w:rsid w:val="14243098"/>
    <w:rsid w:val="142903E8"/>
    <w:rsid w:val="143357DB"/>
    <w:rsid w:val="1446122E"/>
    <w:rsid w:val="144A0D85"/>
    <w:rsid w:val="145A1D5A"/>
    <w:rsid w:val="145E73FE"/>
    <w:rsid w:val="146C12BB"/>
    <w:rsid w:val="14791CE3"/>
    <w:rsid w:val="148C237F"/>
    <w:rsid w:val="14A06FC1"/>
    <w:rsid w:val="14AC0D94"/>
    <w:rsid w:val="14AD5060"/>
    <w:rsid w:val="14B94964"/>
    <w:rsid w:val="14BB3A1F"/>
    <w:rsid w:val="14C8749C"/>
    <w:rsid w:val="14D969A6"/>
    <w:rsid w:val="14E306F6"/>
    <w:rsid w:val="14E61747"/>
    <w:rsid w:val="14E73F02"/>
    <w:rsid w:val="1502097B"/>
    <w:rsid w:val="152044E9"/>
    <w:rsid w:val="15337D09"/>
    <w:rsid w:val="153C211B"/>
    <w:rsid w:val="153C7063"/>
    <w:rsid w:val="15513899"/>
    <w:rsid w:val="155D0A7F"/>
    <w:rsid w:val="15684240"/>
    <w:rsid w:val="156F1C12"/>
    <w:rsid w:val="15784F72"/>
    <w:rsid w:val="1580763A"/>
    <w:rsid w:val="1586427B"/>
    <w:rsid w:val="15967E8D"/>
    <w:rsid w:val="159A07D2"/>
    <w:rsid w:val="159C63AC"/>
    <w:rsid w:val="15AA7739"/>
    <w:rsid w:val="15B82FBA"/>
    <w:rsid w:val="15BC4B29"/>
    <w:rsid w:val="15BE1C46"/>
    <w:rsid w:val="15C06260"/>
    <w:rsid w:val="15CA0DC6"/>
    <w:rsid w:val="15DD4A1C"/>
    <w:rsid w:val="15E90584"/>
    <w:rsid w:val="160321ED"/>
    <w:rsid w:val="160A0813"/>
    <w:rsid w:val="16263368"/>
    <w:rsid w:val="163103EC"/>
    <w:rsid w:val="163E496F"/>
    <w:rsid w:val="16401FC7"/>
    <w:rsid w:val="16597670"/>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12432"/>
    <w:rsid w:val="18CB7663"/>
    <w:rsid w:val="18CC5CF8"/>
    <w:rsid w:val="18CD0844"/>
    <w:rsid w:val="18D45411"/>
    <w:rsid w:val="18D63AE2"/>
    <w:rsid w:val="18F8655D"/>
    <w:rsid w:val="18FE2979"/>
    <w:rsid w:val="19057478"/>
    <w:rsid w:val="190E7C32"/>
    <w:rsid w:val="19115DDD"/>
    <w:rsid w:val="19160144"/>
    <w:rsid w:val="191F38B0"/>
    <w:rsid w:val="19216787"/>
    <w:rsid w:val="19237700"/>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BD2271"/>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920C4A"/>
    <w:rsid w:val="1AA42F5F"/>
    <w:rsid w:val="1AA91D4F"/>
    <w:rsid w:val="1AB14FC0"/>
    <w:rsid w:val="1AB203D4"/>
    <w:rsid w:val="1AB77836"/>
    <w:rsid w:val="1AC94D1F"/>
    <w:rsid w:val="1ACE7057"/>
    <w:rsid w:val="1AD6153D"/>
    <w:rsid w:val="1ADA55B5"/>
    <w:rsid w:val="1ADC1643"/>
    <w:rsid w:val="1ADF0AC1"/>
    <w:rsid w:val="1AED219F"/>
    <w:rsid w:val="1AED2C11"/>
    <w:rsid w:val="1AF03D83"/>
    <w:rsid w:val="1B094BB4"/>
    <w:rsid w:val="1B0E04C0"/>
    <w:rsid w:val="1B0E27E5"/>
    <w:rsid w:val="1B192659"/>
    <w:rsid w:val="1B193B18"/>
    <w:rsid w:val="1B341EBA"/>
    <w:rsid w:val="1B3B5A5B"/>
    <w:rsid w:val="1B400993"/>
    <w:rsid w:val="1B4A340F"/>
    <w:rsid w:val="1B4B16C4"/>
    <w:rsid w:val="1B512965"/>
    <w:rsid w:val="1B5514DD"/>
    <w:rsid w:val="1B7051A5"/>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03368C"/>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A3CC9"/>
    <w:rsid w:val="1E2B3BCE"/>
    <w:rsid w:val="1E3705BA"/>
    <w:rsid w:val="1E3F0D90"/>
    <w:rsid w:val="1E4B77EA"/>
    <w:rsid w:val="1E582320"/>
    <w:rsid w:val="1E5F399D"/>
    <w:rsid w:val="1E642BA9"/>
    <w:rsid w:val="1E683EA6"/>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4587E"/>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53E27"/>
    <w:rsid w:val="21FC4A83"/>
    <w:rsid w:val="220348F7"/>
    <w:rsid w:val="220710B9"/>
    <w:rsid w:val="220B587A"/>
    <w:rsid w:val="2213438F"/>
    <w:rsid w:val="22156802"/>
    <w:rsid w:val="221B45D7"/>
    <w:rsid w:val="22273871"/>
    <w:rsid w:val="22291678"/>
    <w:rsid w:val="223A1D76"/>
    <w:rsid w:val="2243324F"/>
    <w:rsid w:val="224F005B"/>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50900"/>
    <w:rsid w:val="2397295F"/>
    <w:rsid w:val="23976015"/>
    <w:rsid w:val="239F4DB2"/>
    <w:rsid w:val="23B21CC7"/>
    <w:rsid w:val="23BC1A29"/>
    <w:rsid w:val="23E863E8"/>
    <w:rsid w:val="23EF6864"/>
    <w:rsid w:val="23F2753E"/>
    <w:rsid w:val="240B1BA7"/>
    <w:rsid w:val="241B3778"/>
    <w:rsid w:val="242244CF"/>
    <w:rsid w:val="242714EC"/>
    <w:rsid w:val="243A6DF4"/>
    <w:rsid w:val="244B4209"/>
    <w:rsid w:val="24560AE2"/>
    <w:rsid w:val="24671C47"/>
    <w:rsid w:val="24794836"/>
    <w:rsid w:val="248C391F"/>
    <w:rsid w:val="249700EF"/>
    <w:rsid w:val="24996D32"/>
    <w:rsid w:val="24AF0519"/>
    <w:rsid w:val="24BC444C"/>
    <w:rsid w:val="24C16FF5"/>
    <w:rsid w:val="24D21B16"/>
    <w:rsid w:val="24EB0386"/>
    <w:rsid w:val="24EE205A"/>
    <w:rsid w:val="24FE54BC"/>
    <w:rsid w:val="25005E1F"/>
    <w:rsid w:val="2502385F"/>
    <w:rsid w:val="25031E33"/>
    <w:rsid w:val="25066118"/>
    <w:rsid w:val="250B6210"/>
    <w:rsid w:val="25132546"/>
    <w:rsid w:val="251B182A"/>
    <w:rsid w:val="251E41E7"/>
    <w:rsid w:val="25221698"/>
    <w:rsid w:val="252A07E3"/>
    <w:rsid w:val="252B46DE"/>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DC5B4C"/>
    <w:rsid w:val="25E242BB"/>
    <w:rsid w:val="25E31A54"/>
    <w:rsid w:val="25E540FF"/>
    <w:rsid w:val="25E93B02"/>
    <w:rsid w:val="25EB3B02"/>
    <w:rsid w:val="25F07927"/>
    <w:rsid w:val="25F629AF"/>
    <w:rsid w:val="25F8089C"/>
    <w:rsid w:val="25FE3FFD"/>
    <w:rsid w:val="260354A1"/>
    <w:rsid w:val="260A2AFA"/>
    <w:rsid w:val="261747CB"/>
    <w:rsid w:val="26186461"/>
    <w:rsid w:val="2620186D"/>
    <w:rsid w:val="262162F5"/>
    <w:rsid w:val="262466CD"/>
    <w:rsid w:val="262E5BD5"/>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224EF"/>
    <w:rsid w:val="27A449A7"/>
    <w:rsid w:val="27AE7395"/>
    <w:rsid w:val="27B24E9C"/>
    <w:rsid w:val="27BC433E"/>
    <w:rsid w:val="27CE139A"/>
    <w:rsid w:val="27E25E49"/>
    <w:rsid w:val="27E63AB6"/>
    <w:rsid w:val="27F231DD"/>
    <w:rsid w:val="27F469FF"/>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001A0"/>
    <w:rsid w:val="29A80C2D"/>
    <w:rsid w:val="29AC7F64"/>
    <w:rsid w:val="29B025A4"/>
    <w:rsid w:val="29B223D3"/>
    <w:rsid w:val="29B5714B"/>
    <w:rsid w:val="29B82AFC"/>
    <w:rsid w:val="29CA6918"/>
    <w:rsid w:val="29CD5CFE"/>
    <w:rsid w:val="29DC6F28"/>
    <w:rsid w:val="29F101FE"/>
    <w:rsid w:val="29F83E3A"/>
    <w:rsid w:val="29FC0A34"/>
    <w:rsid w:val="2A065B82"/>
    <w:rsid w:val="2A132AC9"/>
    <w:rsid w:val="2A16029F"/>
    <w:rsid w:val="2A256BD4"/>
    <w:rsid w:val="2A460495"/>
    <w:rsid w:val="2A542476"/>
    <w:rsid w:val="2A572019"/>
    <w:rsid w:val="2A606A48"/>
    <w:rsid w:val="2A672272"/>
    <w:rsid w:val="2A774F13"/>
    <w:rsid w:val="2A856758"/>
    <w:rsid w:val="2A9B6F1B"/>
    <w:rsid w:val="2A9E60D9"/>
    <w:rsid w:val="2AA07DD6"/>
    <w:rsid w:val="2AA20835"/>
    <w:rsid w:val="2AA665FD"/>
    <w:rsid w:val="2AAA3E0C"/>
    <w:rsid w:val="2AAA79B8"/>
    <w:rsid w:val="2AB12790"/>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C2EE3"/>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62A8E"/>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5D4A64"/>
    <w:rsid w:val="2D696E27"/>
    <w:rsid w:val="2D90109D"/>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527AED"/>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27C3F"/>
    <w:rsid w:val="3173104B"/>
    <w:rsid w:val="317D6B35"/>
    <w:rsid w:val="31902AB1"/>
    <w:rsid w:val="319D0930"/>
    <w:rsid w:val="31A30319"/>
    <w:rsid w:val="31A6662C"/>
    <w:rsid w:val="31A958C4"/>
    <w:rsid w:val="31B50898"/>
    <w:rsid w:val="31B50F9D"/>
    <w:rsid w:val="31B62FDB"/>
    <w:rsid w:val="31BA2482"/>
    <w:rsid w:val="31BE47CA"/>
    <w:rsid w:val="31D01CA2"/>
    <w:rsid w:val="31D45DBB"/>
    <w:rsid w:val="31DF176C"/>
    <w:rsid w:val="31E8134E"/>
    <w:rsid w:val="31F45A41"/>
    <w:rsid w:val="31FF4B7E"/>
    <w:rsid w:val="320A13F1"/>
    <w:rsid w:val="3211002E"/>
    <w:rsid w:val="322914C7"/>
    <w:rsid w:val="323A5F58"/>
    <w:rsid w:val="3246575B"/>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01F6E"/>
    <w:rsid w:val="3386250E"/>
    <w:rsid w:val="338E28FE"/>
    <w:rsid w:val="33970214"/>
    <w:rsid w:val="339B48EC"/>
    <w:rsid w:val="33AE1F3D"/>
    <w:rsid w:val="33B42B28"/>
    <w:rsid w:val="33B44D6A"/>
    <w:rsid w:val="33B541C9"/>
    <w:rsid w:val="33C40914"/>
    <w:rsid w:val="33CE61A0"/>
    <w:rsid w:val="33E201D4"/>
    <w:rsid w:val="33E75242"/>
    <w:rsid w:val="33EE348F"/>
    <w:rsid w:val="33F20139"/>
    <w:rsid w:val="33F90BAA"/>
    <w:rsid w:val="33FB7E97"/>
    <w:rsid w:val="341101EA"/>
    <w:rsid w:val="341D0440"/>
    <w:rsid w:val="341E68F1"/>
    <w:rsid w:val="342105B8"/>
    <w:rsid w:val="34217FBA"/>
    <w:rsid w:val="3439248A"/>
    <w:rsid w:val="343B56C9"/>
    <w:rsid w:val="3446442E"/>
    <w:rsid w:val="344A237C"/>
    <w:rsid w:val="344C6F16"/>
    <w:rsid w:val="346C064E"/>
    <w:rsid w:val="346C77B6"/>
    <w:rsid w:val="34717DC6"/>
    <w:rsid w:val="347C176C"/>
    <w:rsid w:val="3487701B"/>
    <w:rsid w:val="349738A7"/>
    <w:rsid w:val="349E4B46"/>
    <w:rsid w:val="34A55B39"/>
    <w:rsid w:val="34A96C6F"/>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C67CEC"/>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8B0628"/>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501202"/>
    <w:rsid w:val="397059EB"/>
    <w:rsid w:val="398028B7"/>
    <w:rsid w:val="398652E8"/>
    <w:rsid w:val="39932E80"/>
    <w:rsid w:val="399723BD"/>
    <w:rsid w:val="399C790E"/>
    <w:rsid w:val="39AD0862"/>
    <w:rsid w:val="39C1550A"/>
    <w:rsid w:val="39C429F4"/>
    <w:rsid w:val="39CD31DF"/>
    <w:rsid w:val="39DF3DBB"/>
    <w:rsid w:val="39F8007C"/>
    <w:rsid w:val="39FD1410"/>
    <w:rsid w:val="3A046162"/>
    <w:rsid w:val="3A074B96"/>
    <w:rsid w:val="3A077BDC"/>
    <w:rsid w:val="3A0D4B49"/>
    <w:rsid w:val="3A1528CC"/>
    <w:rsid w:val="3A157E30"/>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9C5849"/>
    <w:rsid w:val="3BA87780"/>
    <w:rsid w:val="3BAF72C4"/>
    <w:rsid w:val="3BB11956"/>
    <w:rsid w:val="3BB43E16"/>
    <w:rsid w:val="3BB605E3"/>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A7515"/>
    <w:rsid w:val="3C1D1C7C"/>
    <w:rsid w:val="3C2016F2"/>
    <w:rsid w:val="3C21617B"/>
    <w:rsid w:val="3C224EAA"/>
    <w:rsid w:val="3C2D6092"/>
    <w:rsid w:val="3C350589"/>
    <w:rsid w:val="3C385408"/>
    <w:rsid w:val="3C456A68"/>
    <w:rsid w:val="3C4F16C1"/>
    <w:rsid w:val="3C534B92"/>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31D8A"/>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B979B4"/>
    <w:rsid w:val="3DCB24A6"/>
    <w:rsid w:val="3DCC1E7E"/>
    <w:rsid w:val="3DD4374A"/>
    <w:rsid w:val="3DDD29A0"/>
    <w:rsid w:val="3DE15919"/>
    <w:rsid w:val="3DE976C2"/>
    <w:rsid w:val="3DF90482"/>
    <w:rsid w:val="3DF95EC3"/>
    <w:rsid w:val="3DFA4B38"/>
    <w:rsid w:val="3DFE5953"/>
    <w:rsid w:val="3E143687"/>
    <w:rsid w:val="3E175EBE"/>
    <w:rsid w:val="3E2C005F"/>
    <w:rsid w:val="3E325D1E"/>
    <w:rsid w:val="3E3976D3"/>
    <w:rsid w:val="3E4905DE"/>
    <w:rsid w:val="3E4C0877"/>
    <w:rsid w:val="3E6A15A8"/>
    <w:rsid w:val="3E6B7465"/>
    <w:rsid w:val="3E707A7A"/>
    <w:rsid w:val="3E735B9C"/>
    <w:rsid w:val="3E7C330F"/>
    <w:rsid w:val="3E820130"/>
    <w:rsid w:val="3E8558DB"/>
    <w:rsid w:val="3E892D0A"/>
    <w:rsid w:val="3E9164DD"/>
    <w:rsid w:val="3EA07325"/>
    <w:rsid w:val="3EB2263C"/>
    <w:rsid w:val="3EC17934"/>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750B9"/>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4786E"/>
    <w:rsid w:val="404558DE"/>
    <w:rsid w:val="404855D8"/>
    <w:rsid w:val="407A57A2"/>
    <w:rsid w:val="407E558E"/>
    <w:rsid w:val="40807689"/>
    <w:rsid w:val="40814873"/>
    <w:rsid w:val="40834587"/>
    <w:rsid w:val="408F1529"/>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73C7A"/>
    <w:rsid w:val="41783809"/>
    <w:rsid w:val="418B104E"/>
    <w:rsid w:val="41930993"/>
    <w:rsid w:val="41A545C8"/>
    <w:rsid w:val="41A86359"/>
    <w:rsid w:val="41AA5A16"/>
    <w:rsid w:val="41AA6FCA"/>
    <w:rsid w:val="41AB032F"/>
    <w:rsid w:val="41B77440"/>
    <w:rsid w:val="41C52353"/>
    <w:rsid w:val="41CC3927"/>
    <w:rsid w:val="41D00D55"/>
    <w:rsid w:val="41EA61EE"/>
    <w:rsid w:val="42013392"/>
    <w:rsid w:val="42090CEC"/>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849B6"/>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830A6E"/>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DD172B"/>
    <w:rsid w:val="44DE6F85"/>
    <w:rsid w:val="44EE6174"/>
    <w:rsid w:val="44EF1836"/>
    <w:rsid w:val="44F6488D"/>
    <w:rsid w:val="44FC2960"/>
    <w:rsid w:val="45026AC6"/>
    <w:rsid w:val="45044A12"/>
    <w:rsid w:val="450874C4"/>
    <w:rsid w:val="45123B46"/>
    <w:rsid w:val="45282A9A"/>
    <w:rsid w:val="452B6A1A"/>
    <w:rsid w:val="45334A20"/>
    <w:rsid w:val="453711EE"/>
    <w:rsid w:val="453C14B9"/>
    <w:rsid w:val="4548010A"/>
    <w:rsid w:val="45481632"/>
    <w:rsid w:val="455238CA"/>
    <w:rsid w:val="4589448D"/>
    <w:rsid w:val="45A9516E"/>
    <w:rsid w:val="45C86987"/>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C4B0B"/>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1B6A79"/>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14E8A"/>
    <w:rsid w:val="49E52DCB"/>
    <w:rsid w:val="49EB1CD3"/>
    <w:rsid w:val="49FD72F4"/>
    <w:rsid w:val="49FF7393"/>
    <w:rsid w:val="4A011963"/>
    <w:rsid w:val="4A093431"/>
    <w:rsid w:val="4A165345"/>
    <w:rsid w:val="4A247675"/>
    <w:rsid w:val="4A38213A"/>
    <w:rsid w:val="4A400586"/>
    <w:rsid w:val="4A5437E2"/>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25807"/>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640F1"/>
    <w:rsid w:val="4C572817"/>
    <w:rsid w:val="4C5A1583"/>
    <w:rsid w:val="4C6241E3"/>
    <w:rsid w:val="4C6369A7"/>
    <w:rsid w:val="4C644BBF"/>
    <w:rsid w:val="4C653585"/>
    <w:rsid w:val="4C6C14CD"/>
    <w:rsid w:val="4C6C224A"/>
    <w:rsid w:val="4C787DD0"/>
    <w:rsid w:val="4C7C366B"/>
    <w:rsid w:val="4C7D636D"/>
    <w:rsid w:val="4C873E85"/>
    <w:rsid w:val="4C8E3A1F"/>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944FF"/>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2B59D9"/>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CB2105"/>
    <w:rsid w:val="4FDF029D"/>
    <w:rsid w:val="4FE76145"/>
    <w:rsid w:val="4FF92635"/>
    <w:rsid w:val="500C6791"/>
    <w:rsid w:val="50151C34"/>
    <w:rsid w:val="50194853"/>
    <w:rsid w:val="50250986"/>
    <w:rsid w:val="502C6FDC"/>
    <w:rsid w:val="503C1ED5"/>
    <w:rsid w:val="503C1FA1"/>
    <w:rsid w:val="503C4DDA"/>
    <w:rsid w:val="503C72D7"/>
    <w:rsid w:val="503D204E"/>
    <w:rsid w:val="505E14C8"/>
    <w:rsid w:val="50621D1D"/>
    <w:rsid w:val="50660A6D"/>
    <w:rsid w:val="506C5899"/>
    <w:rsid w:val="50730E54"/>
    <w:rsid w:val="50731582"/>
    <w:rsid w:val="509A2E32"/>
    <w:rsid w:val="509F5FAB"/>
    <w:rsid w:val="50B51267"/>
    <w:rsid w:val="50D0779D"/>
    <w:rsid w:val="50D66339"/>
    <w:rsid w:val="50E2253E"/>
    <w:rsid w:val="50FD0E66"/>
    <w:rsid w:val="510B565B"/>
    <w:rsid w:val="51120212"/>
    <w:rsid w:val="51144DFE"/>
    <w:rsid w:val="511869DC"/>
    <w:rsid w:val="512D39B1"/>
    <w:rsid w:val="512E1A85"/>
    <w:rsid w:val="513779D9"/>
    <w:rsid w:val="513D3E59"/>
    <w:rsid w:val="51482EA1"/>
    <w:rsid w:val="5149740B"/>
    <w:rsid w:val="514E06C0"/>
    <w:rsid w:val="515446E1"/>
    <w:rsid w:val="5155290A"/>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7C75CB"/>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20A4"/>
    <w:rsid w:val="54A6767D"/>
    <w:rsid w:val="54AC2B6D"/>
    <w:rsid w:val="54AC5454"/>
    <w:rsid w:val="54B7133C"/>
    <w:rsid w:val="54C1659F"/>
    <w:rsid w:val="54C307B4"/>
    <w:rsid w:val="54C46176"/>
    <w:rsid w:val="54C70C29"/>
    <w:rsid w:val="54CA7B62"/>
    <w:rsid w:val="54CC7DCA"/>
    <w:rsid w:val="54D84744"/>
    <w:rsid w:val="54F104F1"/>
    <w:rsid w:val="54F6543C"/>
    <w:rsid w:val="54F94026"/>
    <w:rsid w:val="55031761"/>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33371"/>
    <w:rsid w:val="55F82D46"/>
    <w:rsid w:val="55FC62A2"/>
    <w:rsid w:val="55FE05F9"/>
    <w:rsid w:val="560C6075"/>
    <w:rsid w:val="561153A0"/>
    <w:rsid w:val="56162164"/>
    <w:rsid w:val="56362315"/>
    <w:rsid w:val="563C1BB1"/>
    <w:rsid w:val="563E05D4"/>
    <w:rsid w:val="564546A3"/>
    <w:rsid w:val="564F7F5F"/>
    <w:rsid w:val="56520CBC"/>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9B0942"/>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36AB7"/>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41DFA"/>
    <w:rsid w:val="5BB60E07"/>
    <w:rsid w:val="5BB85E2E"/>
    <w:rsid w:val="5BBC15CD"/>
    <w:rsid w:val="5BC154FF"/>
    <w:rsid w:val="5BCE1DEC"/>
    <w:rsid w:val="5BF84A18"/>
    <w:rsid w:val="5BF86102"/>
    <w:rsid w:val="5C066946"/>
    <w:rsid w:val="5C0D0B5B"/>
    <w:rsid w:val="5C1A1CC6"/>
    <w:rsid w:val="5C1B653E"/>
    <w:rsid w:val="5C1E55A7"/>
    <w:rsid w:val="5C1F1314"/>
    <w:rsid w:val="5C213896"/>
    <w:rsid w:val="5C244D0A"/>
    <w:rsid w:val="5C251B6A"/>
    <w:rsid w:val="5C2950BA"/>
    <w:rsid w:val="5C3077B3"/>
    <w:rsid w:val="5C3B38FA"/>
    <w:rsid w:val="5C4417DA"/>
    <w:rsid w:val="5C4616A2"/>
    <w:rsid w:val="5C5872CD"/>
    <w:rsid w:val="5C723D2D"/>
    <w:rsid w:val="5C7D6E15"/>
    <w:rsid w:val="5C855E55"/>
    <w:rsid w:val="5C8F5D08"/>
    <w:rsid w:val="5CB97502"/>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6B1DD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3E6102"/>
    <w:rsid w:val="5F417E0E"/>
    <w:rsid w:val="5F4A55C6"/>
    <w:rsid w:val="5F4B3D65"/>
    <w:rsid w:val="5F5938BD"/>
    <w:rsid w:val="5F5A0BD2"/>
    <w:rsid w:val="5F6930D0"/>
    <w:rsid w:val="5F6A388F"/>
    <w:rsid w:val="5F702AE8"/>
    <w:rsid w:val="5F716DED"/>
    <w:rsid w:val="5F744282"/>
    <w:rsid w:val="5F7543B4"/>
    <w:rsid w:val="5F756921"/>
    <w:rsid w:val="5F800749"/>
    <w:rsid w:val="5F8A2AF4"/>
    <w:rsid w:val="5FAA4EB2"/>
    <w:rsid w:val="5FBF3FC2"/>
    <w:rsid w:val="5FC40B48"/>
    <w:rsid w:val="5FC41F4F"/>
    <w:rsid w:val="5FD80461"/>
    <w:rsid w:val="5FDF1EF7"/>
    <w:rsid w:val="5FE93E1D"/>
    <w:rsid w:val="5FF529AA"/>
    <w:rsid w:val="60022F17"/>
    <w:rsid w:val="60084D6A"/>
    <w:rsid w:val="601023F1"/>
    <w:rsid w:val="601375A8"/>
    <w:rsid w:val="601A78CB"/>
    <w:rsid w:val="601C086A"/>
    <w:rsid w:val="602316C2"/>
    <w:rsid w:val="603713E2"/>
    <w:rsid w:val="603744A7"/>
    <w:rsid w:val="603B2CE8"/>
    <w:rsid w:val="603C55DC"/>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B6BBC"/>
    <w:rsid w:val="614F7714"/>
    <w:rsid w:val="614F79E9"/>
    <w:rsid w:val="615030C1"/>
    <w:rsid w:val="615F1CAE"/>
    <w:rsid w:val="615F2167"/>
    <w:rsid w:val="615F7D6A"/>
    <w:rsid w:val="616048EE"/>
    <w:rsid w:val="61653414"/>
    <w:rsid w:val="61775B03"/>
    <w:rsid w:val="61787C76"/>
    <w:rsid w:val="617D2724"/>
    <w:rsid w:val="618C04FE"/>
    <w:rsid w:val="6192024E"/>
    <w:rsid w:val="61DE1F1F"/>
    <w:rsid w:val="61E26CFA"/>
    <w:rsid w:val="61F155B4"/>
    <w:rsid w:val="620058CC"/>
    <w:rsid w:val="62010932"/>
    <w:rsid w:val="62175873"/>
    <w:rsid w:val="621A07C5"/>
    <w:rsid w:val="621A2AEC"/>
    <w:rsid w:val="621D3DE0"/>
    <w:rsid w:val="62204A9C"/>
    <w:rsid w:val="623D3F36"/>
    <w:rsid w:val="624C7A06"/>
    <w:rsid w:val="624D069F"/>
    <w:rsid w:val="625A3A2B"/>
    <w:rsid w:val="62641E35"/>
    <w:rsid w:val="628B380A"/>
    <w:rsid w:val="62A86AE4"/>
    <w:rsid w:val="62B6094A"/>
    <w:rsid w:val="62CE4E0F"/>
    <w:rsid w:val="62DF20A9"/>
    <w:rsid w:val="62E54C39"/>
    <w:rsid w:val="62EB578C"/>
    <w:rsid w:val="62F167F5"/>
    <w:rsid w:val="62FE5AC6"/>
    <w:rsid w:val="630C3AE7"/>
    <w:rsid w:val="63325CEE"/>
    <w:rsid w:val="633B4110"/>
    <w:rsid w:val="634D5A29"/>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357D4"/>
    <w:rsid w:val="64C8402C"/>
    <w:rsid w:val="64CD6B04"/>
    <w:rsid w:val="64D63EE7"/>
    <w:rsid w:val="64D833A6"/>
    <w:rsid w:val="64DC1655"/>
    <w:rsid w:val="64ED57E5"/>
    <w:rsid w:val="64F013C4"/>
    <w:rsid w:val="64FE3A0F"/>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0D29"/>
    <w:rsid w:val="65E9248D"/>
    <w:rsid w:val="65EF7DFF"/>
    <w:rsid w:val="6613354E"/>
    <w:rsid w:val="66200813"/>
    <w:rsid w:val="662032A0"/>
    <w:rsid w:val="66322707"/>
    <w:rsid w:val="664A2B0B"/>
    <w:rsid w:val="665225B6"/>
    <w:rsid w:val="66643CD5"/>
    <w:rsid w:val="66645BD3"/>
    <w:rsid w:val="666752FC"/>
    <w:rsid w:val="66706620"/>
    <w:rsid w:val="667A0598"/>
    <w:rsid w:val="667A2800"/>
    <w:rsid w:val="667B23ED"/>
    <w:rsid w:val="66895C07"/>
    <w:rsid w:val="669022B7"/>
    <w:rsid w:val="66940A39"/>
    <w:rsid w:val="66A11405"/>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2F5BE0"/>
    <w:rsid w:val="6A4F5866"/>
    <w:rsid w:val="6A556559"/>
    <w:rsid w:val="6A57578E"/>
    <w:rsid w:val="6A5A6AB0"/>
    <w:rsid w:val="6A6825EC"/>
    <w:rsid w:val="6A6E653E"/>
    <w:rsid w:val="6A753D8D"/>
    <w:rsid w:val="6A776BFB"/>
    <w:rsid w:val="6A90701E"/>
    <w:rsid w:val="6A9B3AED"/>
    <w:rsid w:val="6AA02844"/>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07CE2"/>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71D22"/>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75B5A"/>
    <w:rsid w:val="6ECA5A5F"/>
    <w:rsid w:val="6ED70B19"/>
    <w:rsid w:val="6EE70B21"/>
    <w:rsid w:val="6EFC3550"/>
    <w:rsid w:val="6F043F0B"/>
    <w:rsid w:val="6F0E5A2C"/>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0523BA"/>
    <w:rsid w:val="70111D80"/>
    <w:rsid w:val="7013451F"/>
    <w:rsid w:val="70150303"/>
    <w:rsid w:val="702005DC"/>
    <w:rsid w:val="702E7C60"/>
    <w:rsid w:val="70853BCC"/>
    <w:rsid w:val="709A0FE4"/>
    <w:rsid w:val="70A23903"/>
    <w:rsid w:val="70A36B91"/>
    <w:rsid w:val="70AB660C"/>
    <w:rsid w:val="70B4157B"/>
    <w:rsid w:val="70D01533"/>
    <w:rsid w:val="70D3493E"/>
    <w:rsid w:val="70D76741"/>
    <w:rsid w:val="70E00AE5"/>
    <w:rsid w:val="70EE6A09"/>
    <w:rsid w:val="7105718F"/>
    <w:rsid w:val="710A3270"/>
    <w:rsid w:val="710F45F3"/>
    <w:rsid w:val="711819F0"/>
    <w:rsid w:val="712913E3"/>
    <w:rsid w:val="71306252"/>
    <w:rsid w:val="71364608"/>
    <w:rsid w:val="713C7C54"/>
    <w:rsid w:val="716621C1"/>
    <w:rsid w:val="717065C7"/>
    <w:rsid w:val="71926EEE"/>
    <w:rsid w:val="71A167E4"/>
    <w:rsid w:val="71A46C3A"/>
    <w:rsid w:val="71A53C39"/>
    <w:rsid w:val="71AB5F8A"/>
    <w:rsid w:val="71B04DD0"/>
    <w:rsid w:val="71B07710"/>
    <w:rsid w:val="71B24E95"/>
    <w:rsid w:val="71B63CA1"/>
    <w:rsid w:val="71C5773E"/>
    <w:rsid w:val="71CB20C3"/>
    <w:rsid w:val="71D8471D"/>
    <w:rsid w:val="71DF00AD"/>
    <w:rsid w:val="71E41E32"/>
    <w:rsid w:val="71E814A8"/>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3691C"/>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CE7946"/>
    <w:rsid w:val="74D67798"/>
    <w:rsid w:val="74D87365"/>
    <w:rsid w:val="74DF4168"/>
    <w:rsid w:val="75111A9D"/>
    <w:rsid w:val="752650AE"/>
    <w:rsid w:val="752D306B"/>
    <w:rsid w:val="753022BE"/>
    <w:rsid w:val="75311E23"/>
    <w:rsid w:val="753B6E3D"/>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412C3"/>
    <w:rsid w:val="77C80872"/>
    <w:rsid w:val="77D02423"/>
    <w:rsid w:val="77D65936"/>
    <w:rsid w:val="77DC06F1"/>
    <w:rsid w:val="77E17736"/>
    <w:rsid w:val="77E61546"/>
    <w:rsid w:val="77FD22D0"/>
    <w:rsid w:val="781D2B81"/>
    <w:rsid w:val="78216773"/>
    <w:rsid w:val="782A3B8B"/>
    <w:rsid w:val="783862E1"/>
    <w:rsid w:val="784539AA"/>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203EB"/>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6640CA"/>
    <w:rsid w:val="7B845564"/>
    <w:rsid w:val="7BA6311A"/>
    <w:rsid w:val="7BB2289D"/>
    <w:rsid w:val="7BB30DF6"/>
    <w:rsid w:val="7BC0506C"/>
    <w:rsid w:val="7BCC327F"/>
    <w:rsid w:val="7BCD44BF"/>
    <w:rsid w:val="7BD06D46"/>
    <w:rsid w:val="7BD5433F"/>
    <w:rsid w:val="7BD63602"/>
    <w:rsid w:val="7BD90926"/>
    <w:rsid w:val="7BE503A1"/>
    <w:rsid w:val="7BE83E8C"/>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E5387"/>
    <w:rsid w:val="7DF076CD"/>
    <w:rsid w:val="7E03513B"/>
    <w:rsid w:val="7E145B78"/>
    <w:rsid w:val="7E1625A8"/>
    <w:rsid w:val="7E1E5DFA"/>
    <w:rsid w:val="7E45572A"/>
    <w:rsid w:val="7E4F3EE6"/>
    <w:rsid w:val="7E525688"/>
    <w:rsid w:val="7E5358A2"/>
    <w:rsid w:val="7E57165F"/>
    <w:rsid w:val="7E5C5F01"/>
    <w:rsid w:val="7E72494E"/>
    <w:rsid w:val="7E811934"/>
    <w:rsid w:val="7E8F6B16"/>
    <w:rsid w:val="7E961378"/>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2D409B"/>
    <w:rsid w:val="7F3367F6"/>
    <w:rsid w:val="7F405636"/>
    <w:rsid w:val="7F560F95"/>
    <w:rsid w:val="7F737A53"/>
    <w:rsid w:val="7F8304E3"/>
    <w:rsid w:val="7F8339FD"/>
    <w:rsid w:val="7F974ED5"/>
    <w:rsid w:val="7F9F5B2E"/>
    <w:rsid w:val="7FA15F27"/>
    <w:rsid w:val="7FA6015E"/>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99"/>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99"/>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99"/>
    <w:pPr>
      <w:numPr>
        <w:ilvl w:val="2"/>
        <w:numId w:val="1"/>
      </w:numPr>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99"/>
    <w:rPr>
      <w:b/>
      <w:bCs/>
      <w:kern w:val="44"/>
      <w:sz w:val="44"/>
      <w:szCs w:val="44"/>
    </w:rPr>
  </w:style>
  <w:style w:type="character" w:customStyle="1" w:styleId="71">
    <w:name w:val="标题 2 Char"/>
    <w:basedOn w:val="58"/>
    <w:link w:val="3"/>
    <w:qFormat/>
    <w:uiPriority w:val="99"/>
    <w:rPr>
      <w:rFonts w:ascii="Arial" w:hAnsi="Arial" w:eastAsia="MS Mincho"/>
      <w:sz w:val="32"/>
      <w:szCs w:val="32"/>
      <w:lang w:val="en-GB"/>
    </w:rPr>
  </w:style>
  <w:style w:type="character" w:customStyle="1" w:styleId="72">
    <w:name w:val="标题 3 Char"/>
    <w:basedOn w:val="58"/>
    <w:link w:val="4"/>
    <w:qFormat/>
    <w:uiPriority w:val="99"/>
    <w:rPr>
      <w:rFonts w:ascii="Arial" w:hAnsi="Arial" w:eastAsia="MS Mincho"/>
      <w:b/>
      <w:bCs/>
      <w:sz w:val="32"/>
      <w:szCs w:val="32"/>
      <w:lang w:val="en-GB"/>
    </w:rPr>
  </w:style>
  <w:style w:type="character" w:customStyle="1" w:styleId="73">
    <w:name w:val="标题 4 Char"/>
    <w:basedOn w:val="58"/>
    <w:link w:val="5"/>
    <w:qFormat/>
    <w:uiPriority w:val="0"/>
    <w:rPr>
      <w:rFonts w:ascii="Arial" w:hAnsi="Arial" w:eastAsia="黑体"/>
      <w:b/>
      <w:bCs/>
      <w:sz w:val="28"/>
      <w:szCs w:val="32"/>
      <w:lang w:val="en-GB"/>
    </w:rPr>
  </w:style>
  <w:style w:type="character" w:customStyle="1" w:styleId="74">
    <w:name w:val="标题 5 Char"/>
    <w:basedOn w:val="58"/>
    <w:link w:val="6"/>
    <w:qFormat/>
    <w:uiPriority w:val="0"/>
    <w:rPr>
      <w:rFonts w:ascii="Arial" w:hAnsi="Arial" w:eastAsia="黑体"/>
      <w:b/>
      <w:bCs/>
      <w:sz w:val="28"/>
      <w:szCs w:val="32"/>
      <w:lang w:val="en-GB"/>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99"/>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link w:val="2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PL Char"/>
    <w:link w:val="246"/>
    <w:qFormat/>
    <w:uiPriority w:val="0"/>
    <w:rPr>
      <w:rFonts w:ascii="Courier New" w:hAnsi="Courier New" w:eastAsia="MS Mincho"/>
      <w:sz w:val="16"/>
      <w:lang w:eastAsia="en-US"/>
    </w:rPr>
  </w:style>
  <w:style w:type="table" w:customStyle="1" w:styleId="284">
    <w:name w:val="清单表 31"/>
    <w:basedOn w:val="56"/>
    <w:qFormat/>
    <w:uiPriority w:val="48"/>
    <w:tblPr>
      <w:tblBorders>
        <w:top w:val="single" w:color="008ED3" w:themeColor="text1" w:sz="4" w:space="0"/>
        <w:left w:val="single" w:color="008ED3" w:themeColor="text1" w:sz="4" w:space="0"/>
        <w:bottom w:val="single" w:color="008ED3" w:themeColor="text1" w:sz="4" w:space="0"/>
        <w:right w:val="single" w:color="008ED3" w:themeColor="text1" w:sz="4" w:space="0"/>
      </w:tblBorders>
    </w:tblPr>
    <w:tblStylePr w:type="firstRow">
      <w:rPr>
        <w:b/>
        <w:bCs/>
        <w:color w:val="FFFFFF" w:themeColor="background1"/>
        <w14:textFill>
          <w14:solidFill>
            <w14:schemeClr w14:val="bg1"/>
          </w14:solidFill>
        </w14:textFill>
      </w:rPr>
      <w:tcPr>
        <w:shd w:val="clear" w:color="auto" w:fill="008ED3" w:themeFill="text1"/>
      </w:tcPr>
    </w:tblStylePr>
    <w:tblStylePr w:type="lastRow">
      <w:rPr>
        <w:b/>
        <w:bCs/>
      </w:rPr>
      <w:tcPr>
        <w:tcBorders>
          <w:top w:val="double" w:color="008ED3"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8ED3" w:themeColor="text1" w:sz="4" w:space="0"/>
          <w:right w:val="single" w:color="008ED3" w:themeColor="text1" w:sz="4" w:space="0"/>
        </w:tcBorders>
      </w:tcPr>
    </w:tblStylePr>
    <w:tblStylePr w:type="band1Horz">
      <w:tcPr>
        <w:tcBorders>
          <w:top w:val="single" w:color="008ED3" w:themeColor="text1" w:sz="4" w:space="0"/>
          <w:bottom w:val="single" w:color="008ED3"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8ED3" w:themeColor="text1" w:sz="4" w:space="0"/>
          <w:left w:val="nil"/>
        </w:tcBorders>
      </w:tcPr>
    </w:tblStylePr>
    <w:tblStylePr w:type="swCell">
      <w:tcPr>
        <w:tcBorders>
          <w:top w:val="double" w:color="008ED3" w:themeColor="text1" w:sz="4" w:space="0"/>
          <w:right w:val="nil"/>
        </w:tcBorders>
      </w:tcPr>
    </w:tblStylePr>
  </w:style>
  <w:style w:type="table" w:customStyle="1" w:styleId="285">
    <w:name w:val="清单表 3 - 着色 51"/>
    <w:basedOn w:val="56"/>
    <w:qFormat/>
    <w:uiPriority w:val="48"/>
    <w:tblPr>
      <w:tblBorders>
        <w:top w:val="single" w:color="8DC642" w:themeColor="accent5" w:sz="4" w:space="0"/>
        <w:left w:val="single" w:color="8DC642" w:themeColor="accent5" w:sz="4" w:space="0"/>
        <w:bottom w:val="single" w:color="8DC642" w:themeColor="accent5" w:sz="4" w:space="0"/>
        <w:right w:val="single" w:color="8DC642" w:themeColor="accent5" w:sz="4" w:space="0"/>
      </w:tblBorders>
    </w:tblPr>
    <w:tblStylePr w:type="firstRow">
      <w:rPr>
        <w:b/>
        <w:bCs/>
        <w:color w:val="FFFFFF" w:themeColor="background1"/>
        <w14:textFill>
          <w14:solidFill>
            <w14:schemeClr w14:val="bg1"/>
          </w14:solidFill>
        </w14:textFill>
      </w:rPr>
      <w:tcPr>
        <w:shd w:val="clear" w:color="auto" w:fill="8DC642" w:themeFill="accent5"/>
      </w:tcPr>
    </w:tblStylePr>
    <w:tblStylePr w:type="lastRow">
      <w:rPr>
        <w:b/>
        <w:bCs/>
      </w:rPr>
      <w:tcPr>
        <w:tcBorders>
          <w:top w:val="double" w:color="8DC642"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8DC642" w:themeColor="accent5" w:sz="4" w:space="0"/>
          <w:right w:val="single" w:color="8DC642" w:themeColor="accent5" w:sz="4" w:space="0"/>
        </w:tcBorders>
      </w:tcPr>
    </w:tblStylePr>
    <w:tblStylePr w:type="band1Horz">
      <w:tcPr>
        <w:tcBorders>
          <w:top w:val="single" w:color="8DC642" w:themeColor="accent5" w:sz="4" w:space="0"/>
          <w:bottom w:val="single" w:color="8DC642"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8DC642" w:themeColor="accent5" w:sz="4" w:space="0"/>
          <w:left w:val="nil"/>
        </w:tcBorders>
      </w:tcPr>
    </w:tblStylePr>
    <w:tblStylePr w:type="swCell">
      <w:tcPr>
        <w:tcBorders>
          <w:top w:val="double" w:color="8DC642" w:themeColor="accent5" w:sz="4" w:space="0"/>
          <w:right w:val="nil"/>
        </w:tcBorders>
      </w:tcPr>
    </w:tblStylePr>
  </w:style>
  <w:style w:type="table" w:customStyle="1" w:styleId="286">
    <w:name w:val="网格表 3 - 着色 21"/>
    <w:basedOn w:val="56"/>
    <w:qFormat/>
    <w:uiPriority w:val="48"/>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FF4FB" w:themeFill="accent2" w:themeFillTint="33"/>
      </w:tcPr>
    </w:tblStylePr>
    <w:tblStylePr w:type="band1Horz">
      <w:tcPr>
        <w:shd w:val="clear" w:color="auto" w:fill="DFF4FB" w:themeFill="accent2" w:themeFillTint="33"/>
      </w:tcPr>
    </w:tblStylePr>
    <w:tblStylePr w:type="neCell">
      <w:tcPr>
        <w:tcBorders>
          <w:bottom w:val="single" w:color="A0E0F5" w:themeColor="accent2" w:themeTint="99" w:sz="4" w:space="0"/>
        </w:tcBorders>
      </w:tcPr>
    </w:tblStylePr>
    <w:tblStylePr w:type="nwCell">
      <w:tcPr>
        <w:tcBorders>
          <w:bottom w:val="single" w:color="A0E0F5" w:themeColor="accent2" w:themeTint="99" w:sz="4" w:space="0"/>
        </w:tcBorders>
      </w:tcPr>
    </w:tblStylePr>
    <w:tblStylePr w:type="seCell">
      <w:tcPr>
        <w:tcBorders>
          <w:top w:val="single" w:color="A0E0F5" w:themeColor="accent2" w:themeTint="99" w:sz="4" w:space="0"/>
        </w:tcBorders>
      </w:tcPr>
    </w:tblStylePr>
    <w:tblStylePr w:type="swCell">
      <w:tcPr>
        <w:tcBorders>
          <w:top w:val="single" w:color="A0E0F5" w:themeColor="accent2" w:themeTint="99" w:sz="4" w:space="0"/>
        </w:tcBorders>
      </w:tcPr>
    </w:tblStylePr>
  </w:style>
  <w:style w:type="table" w:customStyle="1" w:styleId="287">
    <w:name w:val="网格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insideV w:val="nil"/>
        </w:tcBorders>
        <w:shd w:val="clear" w:color="auto" w:fill="008ED3" w:themeFill="text1"/>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288">
    <w:name w:val="清单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tcBorders>
        <w:shd w:val="clear" w:color="auto" w:fill="61CCF0" w:themeFill="accent2"/>
      </w:tcPr>
    </w:tblStylePr>
    <w:tblStylePr w:type="lastRow">
      <w:rPr>
        <w:b/>
        <w:bCs/>
      </w:rPr>
      <w:tcPr>
        <w:tcBorders>
          <w:top w:val="double" w:color="A0E0F5" w:themeColor="accent2" w:themeTint="99"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89">
    <w:name w:val="网格表 1 浅色 - 着色 61"/>
    <w:basedOn w:val="56"/>
    <w:qFormat/>
    <w:uiPriority w:val="46"/>
    <w:tblPr>
      <w:tblBorders>
        <w:top w:val="single" w:color="BBBCBD" w:themeColor="accent6" w:themeTint="66" w:sz="4" w:space="0"/>
        <w:left w:val="single" w:color="BBBCBD" w:themeColor="accent6" w:themeTint="66" w:sz="4" w:space="0"/>
        <w:bottom w:val="single" w:color="BBBCBD" w:themeColor="accent6" w:themeTint="66" w:sz="4" w:space="0"/>
        <w:right w:val="single" w:color="BBBCBD" w:themeColor="accent6" w:themeTint="66" w:sz="4" w:space="0"/>
        <w:insideH w:val="single" w:color="BBBCBD" w:themeColor="accent6" w:themeTint="66" w:sz="4" w:space="0"/>
        <w:insideV w:val="single" w:color="BBBCBD" w:themeColor="accent6" w:themeTint="66" w:sz="4" w:space="0"/>
      </w:tblBorders>
    </w:tblPr>
    <w:tblStylePr w:type="firstRow">
      <w:rPr>
        <w:b/>
        <w:bCs/>
      </w:rPr>
      <w:tcPr>
        <w:tcBorders>
          <w:bottom w:val="single" w:color="9A9B9D" w:themeColor="accent6" w:themeTint="99" w:sz="12" w:space="0"/>
        </w:tcBorders>
      </w:tcPr>
    </w:tblStylePr>
    <w:tblStylePr w:type="lastRow">
      <w:rPr>
        <w:b/>
        <w:bCs/>
      </w:rPr>
      <w:tcPr>
        <w:tcBorders>
          <w:top w:val="double" w:color="9A9B9D" w:themeColor="accent6" w:themeTint="99" w:sz="2" w:space="0"/>
        </w:tcBorders>
      </w:tcPr>
    </w:tblStylePr>
    <w:tblStylePr w:type="firstCol">
      <w:rPr>
        <w:b/>
        <w:bCs/>
      </w:rPr>
    </w:tblStylePr>
    <w:tblStylePr w:type="lastCol">
      <w:rPr>
        <w:b/>
        <w:bCs/>
      </w:rPr>
    </w:tblStylePr>
  </w:style>
  <w:style w:type="table" w:customStyle="1" w:styleId="290">
    <w:name w:val="网格表 1 浅色 - 着色 21"/>
    <w:basedOn w:val="56"/>
    <w:qFormat/>
    <w:uiPriority w:val="46"/>
    <w:tblPr>
      <w:tblBorders>
        <w:top w:val="single" w:color="BFEAF8" w:themeColor="accent2" w:themeTint="66" w:sz="4" w:space="0"/>
        <w:left w:val="single" w:color="BFEAF8" w:themeColor="accent2" w:themeTint="66" w:sz="4" w:space="0"/>
        <w:bottom w:val="single" w:color="BFEAF8" w:themeColor="accent2" w:themeTint="66" w:sz="4" w:space="0"/>
        <w:right w:val="single" w:color="BFEAF8" w:themeColor="accent2" w:themeTint="66" w:sz="4" w:space="0"/>
        <w:insideH w:val="single" w:color="BFEAF8" w:themeColor="accent2" w:themeTint="66" w:sz="4" w:space="0"/>
        <w:insideV w:val="single" w:color="BFEAF8" w:themeColor="accent2" w:themeTint="66" w:sz="4" w:space="0"/>
      </w:tblBorders>
    </w:tblPr>
    <w:tblStylePr w:type="firstRow">
      <w:rPr>
        <w:b/>
        <w:bCs/>
      </w:rPr>
      <w:tcPr>
        <w:tcBorders>
          <w:bottom w:val="single" w:color="A0E0F5" w:themeColor="accent2" w:themeTint="99" w:sz="12" w:space="0"/>
        </w:tcBorders>
      </w:tcPr>
    </w:tblStylePr>
    <w:tblStylePr w:type="lastRow">
      <w:rPr>
        <w:b/>
        <w:bCs/>
      </w:rPr>
      <w:tcPr>
        <w:tcBorders>
          <w:top w:val="double" w:color="A0E0F5" w:themeColor="accent2" w:themeTint="99" w:sz="2" w:space="0"/>
        </w:tcBorders>
      </w:tcPr>
    </w:tblStylePr>
    <w:tblStylePr w:type="firstCol">
      <w:rPr>
        <w:b/>
        <w:bCs/>
      </w:rPr>
    </w:tblStylePr>
    <w:tblStylePr w:type="lastCol">
      <w:rPr>
        <w:b/>
        <w:bCs/>
      </w:rPr>
    </w:tblStylePr>
  </w:style>
  <w:style w:type="table" w:customStyle="1" w:styleId="291">
    <w:name w:val="网格表 31"/>
    <w:basedOn w:val="56"/>
    <w:qFormat/>
    <w:uiPriority w:val="48"/>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bottom w:val="single" w:color="4BC4FF" w:themeColor="text1" w:themeTint="99" w:sz="4" w:space="0"/>
        </w:tcBorders>
      </w:tcPr>
    </w:tblStylePr>
    <w:tblStylePr w:type="nwCell">
      <w:tcPr>
        <w:tcBorders>
          <w:bottom w:val="single" w:color="4BC4FF" w:themeColor="text1" w:themeTint="99" w:sz="4" w:space="0"/>
        </w:tcBorders>
      </w:tcPr>
    </w:tblStylePr>
    <w:tblStylePr w:type="seCell">
      <w:tcPr>
        <w:tcBorders>
          <w:top w:val="single" w:color="4BC4FF" w:themeColor="text1" w:themeTint="99" w:sz="4" w:space="0"/>
        </w:tcBorders>
      </w:tcPr>
    </w:tblStylePr>
    <w:tblStylePr w:type="swCell">
      <w:tcPr>
        <w:tcBorders>
          <w:top w:val="single" w:color="4BC4FF" w:themeColor="text1" w:themeTint="99" w:sz="4" w:space="0"/>
        </w:tcBorders>
      </w:tcPr>
    </w:tblStylePr>
  </w:style>
  <w:style w:type="table" w:customStyle="1" w:styleId="292">
    <w:name w:val="网格表 4 - 着色 61"/>
    <w:basedOn w:val="56"/>
    <w:qFormat/>
    <w:uiPriority w:val="49"/>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color w:val="FFFFFF" w:themeColor="background1"/>
        <w14:textFill>
          <w14:solidFill>
            <w14:schemeClr w14:val="bg1"/>
          </w14:solidFill>
        </w14:textFill>
      </w:rPr>
      <w:tcPr>
        <w:tcBorders>
          <w:top w:val="single" w:color="58595B" w:themeColor="accent6" w:sz="4" w:space="0"/>
          <w:left w:val="single" w:color="58595B" w:themeColor="accent6" w:sz="4" w:space="0"/>
          <w:bottom w:val="single" w:color="58595B" w:themeColor="accent6" w:sz="4" w:space="0"/>
          <w:right w:val="single" w:color="58595B" w:themeColor="accent6" w:sz="4" w:space="0"/>
          <w:insideH w:val="nil"/>
          <w:insideV w:val="nil"/>
        </w:tcBorders>
        <w:shd w:val="clear" w:color="auto" w:fill="58595B" w:themeFill="accent6"/>
      </w:tcPr>
    </w:tblStylePr>
    <w:tblStylePr w:type="lastRow">
      <w:rPr>
        <w:b/>
        <w:bCs/>
      </w:rPr>
      <w:tcPr>
        <w:tcBorders>
          <w:top w:val="double" w:color="58595B" w:themeColor="accent6" w:sz="4" w:space="0"/>
        </w:tcBorders>
      </w:tcPr>
    </w:tblStylePr>
    <w:tblStylePr w:type="firstCol">
      <w:rPr>
        <w:b/>
        <w:bCs/>
      </w:rPr>
    </w:tblStylePr>
    <w:tblStylePr w:type="lastCol">
      <w:rPr>
        <w:b/>
        <w:bCs/>
      </w:rPr>
    </w:tblStylePr>
    <w:tblStylePr w:type="band1Vert">
      <w:tcPr>
        <w:shd w:val="clear" w:color="auto" w:fill="DDDDDE" w:themeFill="accent6" w:themeFillTint="33"/>
      </w:tcPr>
    </w:tblStylePr>
    <w:tblStylePr w:type="band1Horz">
      <w:tcPr>
        <w:shd w:val="clear" w:color="auto" w:fill="DDDDDE" w:themeFill="accent6" w:themeFillTint="33"/>
      </w:tcPr>
    </w:tblStylePr>
  </w:style>
  <w:style w:type="table" w:customStyle="1" w:styleId="293">
    <w:name w:val="网格表 5 深色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3EBFF"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8ED3"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8ED3"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8ED3"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8ED3" w:themeFill="text1"/>
      </w:tcPr>
    </w:tblStylePr>
    <w:tblStylePr w:type="band1Vert">
      <w:tcPr>
        <w:shd w:val="clear" w:color="auto" w:fill="87D7FF" w:themeFill="text1" w:themeFillTint="66"/>
      </w:tcPr>
    </w:tblStylePr>
    <w:tblStylePr w:type="band1Horz">
      <w:tcPr>
        <w:shd w:val="clear" w:color="auto" w:fill="87D7FF" w:themeFill="text1" w:themeFillTint="66"/>
      </w:tcPr>
    </w:tblStylePr>
  </w:style>
  <w:style w:type="table" w:customStyle="1" w:styleId="294">
    <w:name w:val="网格表 5 深色 - 着色 2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FF4FB"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1CCF0"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1CCF0"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61CCF0"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1CCF0" w:themeFill="accent2"/>
      </w:tcPr>
    </w:tblStylePr>
    <w:tblStylePr w:type="band1Vert">
      <w:tcPr>
        <w:shd w:val="clear" w:color="auto" w:fill="BFEAF8" w:themeFill="accent2" w:themeFillTint="66"/>
      </w:tcPr>
    </w:tblStylePr>
    <w:tblStylePr w:type="band1Horz">
      <w:tcPr>
        <w:shd w:val="clear" w:color="auto" w:fill="BFEAF8" w:themeFill="accent2" w:themeFillTint="66"/>
      </w:tcPr>
    </w:tblStylePr>
  </w:style>
  <w:style w:type="table" w:customStyle="1" w:styleId="295">
    <w:name w:val="清单表 5 深色1"/>
    <w:basedOn w:val="56"/>
    <w:qFormat/>
    <w:uiPriority w:val="50"/>
    <w:rPr>
      <w:color w:val="FFFFFF" w:themeColor="background1"/>
      <w14:textFill>
        <w14:solidFill>
          <w14:schemeClr w14:val="bg1"/>
        </w14:solidFill>
      </w14:textFill>
    </w:rPr>
    <w:tblPr>
      <w:tblBorders>
        <w:top w:val="single" w:color="008ED3" w:themeColor="text1" w:sz="24" w:space="0"/>
        <w:left w:val="single" w:color="008ED3" w:themeColor="text1" w:sz="24" w:space="0"/>
        <w:bottom w:val="single" w:color="008ED3" w:themeColor="text1" w:sz="24" w:space="0"/>
        <w:right w:val="single" w:color="008ED3" w:themeColor="text1" w:sz="24" w:space="0"/>
      </w:tblBorders>
    </w:tblPr>
    <w:tcPr>
      <w:shd w:val="clear" w:color="auto" w:fill="008ED3"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清单表 7 彩色1"/>
    <w:basedOn w:val="56"/>
    <w:qFormat/>
    <w:uiPriority w:val="52"/>
    <w:rPr>
      <w:color w:val="008ED3"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8ED3"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8ED3"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8ED3"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8ED3" w:themeColor="text1" w:sz="4" w:space="0"/>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7">
    <w:name w:val="网格表 4 - 着色 41"/>
    <w:basedOn w:val="56"/>
    <w:qFormat/>
    <w:uiPriority w:val="49"/>
    <w:tblPr>
      <w:tblBorders>
        <w:top w:val="single" w:color="D467D2" w:themeColor="accent4" w:themeTint="99" w:sz="4" w:space="0"/>
        <w:left w:val="single" w:color="D467D2" w:themeColor="accent4" w:themeTint="99" w:sz="4" w:space="0"/>
        <w:bottom w:val="single" w:color="D467D2" w:themeColor="accent4" w:themeTint="99" w:sz="4" w:space="0"/>
        <w:right w:val="single" w:color="D467D2" w:themeColor="accent4" w:themeTint="99" w:sz="4" w:space="0"/>
        <w:insideH w:val="single" w:color="D467D2" w:themeColor="accent4" w:themeTint="99" w:sz="4" w:space="0"/>
        <w:insideV w:val="single" w:color="D467D2" w:themeColor="accent4" w:themeTint="99" w:sz="4" w:space="0"/>
      </w:tblBorders>
    </w:tblPr>
    <w:tblStylePr w:type="firstRow">
      <w:rPr>
        <w:b/>
        <w:bCs/>
        <w:color w:val="FFFFFF" w:themeColor="background1"/>
        <w14:textFill>
          <w14:solidFill>
            <w14:schemeClr w14:val="bg1"/>
          </w14:solidFill>
        </w14:textFill>
      </w:rPr>
      <w:tcPr>
        <w:tcBorders>
          <w:top w:val="single" w:color="922990" w:themeColor="accent4" w:sz="4" w:space="0"/>
          <w:left w:val="single" w:color="922990" w:themeColor="accent4" w:sz="4" w:space="0"/>
          <w:bottom w:val="single" w:color="922990" w:themeColor="accent4" w:sz="4" w:space="0"/>
          <w:right w:val="single" w:color="922990" w:themeColor="accent4" w:sz="4" w:space="0"/>
          <w:insideH w:val="nil"/>
          <w:insideV w:val="nil"/>
        </w:tcBorders>
        <w:shd w:val="clear" w:color="auto" w:fill="922990" w:themeFill="accent4"/>
      </w:tcPr>
    </w:tblStylePr>
    <w:tblStylePr w:type="lastRow">
      <w:rPr>
        <w:b/>
        <w:bCs/>
      </w:rPr>
      <w:tcPr>
        <w:tcBorders>
          <w:top w:val="double" w:color="922990" w:themeColor="accent4" w:sz="4" w:space="0"/>
        </w:tcBorders>
      </w:tcPr>
    </w:tblStylePr>
    <w:tblStylePr w:type="firstCol">
      <w:rPr>
        <w:b/>
        <w:bCs/>
      </w:rPr>
    </w:tblStylePr>
    <w:tblStylePr w:type="lastCol">
      <w:rPr>
        <w:b/>
        <w:bCs/>
      </w:rPr>
    </w:tblStylePr>
    <w:tblStylePr w:type="band1Vert">
      <w:tcPr>
        <w:shd w:val="clear" w:color="auto" w:fill="F0CCF0" w:themeFill="accent4" w:themeFillTint="33"/>
      </w:tcPr>
    </w:tblStylePr>
    <w:tblStylePr w:type="band1Horz">
      <w:tcPr>
        <w:shd w:val="clear" w:color="auto" w:fill="F0CCF0" w:themeFill="accent4" w:themeFillTint="33"/>
      </w:tcPr>
    </w:tblStylePr>
  </w:style>
  <w:style w:type="table" w:customStyle="1" w:styleId="298">
    <w:name w:val="网格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insideV w:val="nil"/>
        </w:tcBorders>
        <w:shd w:val="clear" w:color="auto" w:fill="61CCF0" w:themeFill="accent2"/>
      </w:tcPr>
    </w:tblStylePr>
    <w:tblStylePr w:type="lastRow">
      <w:rPr>
        <w:b/>
        <w:bCs/>
      </w:rPr>
      <w:tcPr>
        <w:tcBorders>
          <w:top w:val="double" w:color="61CCF0" w:themeColor="accent2"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99">
    <w:name w:val="清单表 3 - 着色 61"/>
    <w:basedOn w:val="56"/>
    <w:qFormat/>
    <w:uiPriority w:val="48"/>
    <w:tblPr>
      <w:tblBorders>
        <w:top w:val="single" w:color="58595B" w:themeColor="accent6" w:sz="4" w:space="0"/>
        <w:left w:val="single" w:color="58595B" w:themeColor="accent6" w:sz="4" w:space="0"/>
        <w:bottom w:val="single" w:color="58595B" w:themeColor="accent6" w:sz="4" w:space="0"/>
        <w:right w:val="single" w:color="58595B" w:themeColor="accent6" w:sz="4" w:space="0"/>
      </w:tblBorders>
    </w:tblPr>
    <w:tblStylePr w:type="firstRow">
      <w:rPr>
        <w:b/>
        <w:bCs/>
        <w:color w:val="FFFFFF" w:themeColor="background1"/>
        <w14:textFill>
          <w14:solidFill>
            <w14:schemeClr w14:val="bg1"/>
          </w14:solidFill>
        </w14:textFill>
      </w:rPr>
      <w:tcPr>
        <w:shd w:val="clear" w:color="auto" w:fill="58595B" w:themeFill="accent6"/>
      </w:tcPr>
    </w:tblStylePr>
    <w:tblStylePr w:type="lastRow">
      <w:rPr>
        <w:b/>
        <w:bCs/>
      </w:rPr>
      <w:tcPr>
        <w:tcBorders>
          <w:top w:val="double" w:color="58595B"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8595B" w:themeColor="accent6" w:sz="4" w:space="0"/>
          <w:right w:val="single" w:color="58595B" w:themeColor="accent6" w:sz="4" w:space="0"/>
        </w:tcBorders>
      </w:tcPr>
    </w:tblStylePr>
    <w:tblStylePr w:type="band1Horz">
      <w:tcPr>
        <w:tcBorders>
          <w:top w:val="single" w:color="58595B" w:themeColor="accent6" w:sz="4" w:space="0"/>
          <w:bottom w:val="single" w:color="58595B"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8595B" w:themeColor="accent6" w:sz="4" w:space="0"/>
          <w:left w:val="nil"/>
        </w:tcBorders>
      </w:tcPr>
    </w:tblStylePr>
    <w:tblStylePr w:type="swCell">
      <w:tcPr>
        <w:tcBorders>
          <w:top w:val="double" w:color="58595B" w:themeColor="accent6" w:sz="4" w:space="0"/>
          <w:right w:val="nil"/>
        </w:tcBorders>
      </w:tcPr>
    </w:tblStylePr>
  </w:style>
  <w:style w:type="table" w:customStyle="1" w:styleId="300">
    <w:name w:val="清单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tcBorders>
        <w:shd w:val="clear" w:color="auto" w:fill="008ED3" w:themeFill="text1"/>
      </w:tcPr>
    </w:tblStylePr>
    <w:tblStylePr w:type="lastRow">
      <w:rPr>
        <w:b/>
        <w:bCs/>
      </w:rPr>
      <w:tcPr>
        <w:tcBorders>
          <w:top w:val="double" w:color="4BC4FF" w:themeColor="text1" w:themeTint="99"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301">
    <w:name w:val="网格表 7 彩色 - 着色 61"/>
    <w:basedOn w:val="56"/>
    <w:qFormat/>
    <w:uiPriority w:val="52"/>
    <w:rPr>
      <w:color w:val="424344" w:themeColor="accent6" w:themeShade="BF"/>
    </w:rPr>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DDDDE" w:themeFill="accent6" w:themeFillTint="33"/>
      </w:tcPr>
    </w:tblStylePr>
    <w:tblStylePr w:type="band1Horz">
      <w:tcPr>
        <w:shd w:val="clear" w:color="auto" w:fill="DDDDDE" w:themeFill="accent6" w:themeFillTint="33"/>
      </w:tcPr>
    </w:tblStylePr>
    <w:tblStylePr w:type="neCell">
      <w:tcPr>
        <w:tcBorders>
          <w:bottom w:val="single" w:color="9A9B9D" w:themeColor="accent6" w:themeTint="99" w:sz="4" w:space="0"/>
        </w:tcBorders>
      </w:tcPr>
    </w:tblStylePr>
    <w:tblStylePr w:type="nwCell">
      <w:tcPr>
        <w:tcBorders>
          <w:bottom w:val="single" w:color="9A9B9D" w:themeColor="accent6" w:themeTint="99" w:sz="4" w:space="0"/>
        </w:tcBorders>
      </w:tcPr>
    </w:tblStylePr>
    <w:tblStylePr w:type="seCell">
      <w:tcPr>
        <w:tcBorders>
          <w:top w:val="single" w:color="9A9B9D" w:themeColor="accent6" w:themeTint="99" w:sz="4" w:space="0"/>
        </w:tcBorders>
      </w:tcPr>
    </w:tblStylePr>
    <w:tblStylePr w:type="swCell">
      <w:tcPr>
        <w:tcBorders>
          <w:top w:val="single" w:color="9A9B9D" w:themeColor="accent6" w:themeTint="99" w:sz="4" w:space="0"/>
        </w:tcBorders>
      </w:tcPr>
    </w:tblStylePr>
  </w:style>
  <w:style w:type="table" w:customStyle="1" w:styleId="302">
    <w:name w:val="网格表 5 深色 - 着色 5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F3D9"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DC642"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DC642"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DC642"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DC642" w:themeFill="accent5"/>
      </w:tcPr>
    </w:tblStylePr>
    <w:tblStylePr w:type="band1Vert">
      <w:tcPr>
        <w:shd w:val="clear" w:color="auto" w:fill="D1E8B3" w:themeFill="accent5" w:themeFillTint="66"/>
      </w:tcPr>
    </w:tblStylePr>
    <w:tblStylePr w:type="band1Horz">
      <w:tcPr>
        <w:shd w:val="clear" w:color="auto" w:fill="D1E8B3" w:themeFill="accent5" w:themeFillTint="66"/>
      </w:tcPr>
    </w:tblStylePr>
  </w:style>
  <w:style w:type="table" w:customStyle="1" w:styleId="303">
    <w:name w:val="清单表 6 彩色1"/>
    <w:basedOn w:val="56"/>
    <w:qFormat/>
    <w:uiPriority w:val="51"/>
    <w:rPr>
      <w:color w:val="008ED3" w:themeColor="text1"/>
      <w14:textFill>
        <w14:solidFill>
          <w14:schemeClr w14:val="tx1"/>
        </w14:solidFill>
      </w14:textFill>
    </w:rPr>
    <w:tblPr>
      <w:tblBorders>
        <w:top w:val="single" w:color="008ED3" w:themeColor="text1" w:sz="4" w:space="0"/>
        <w:bottom w:val="single" w:color="008ED3" w:themeColor="text1" w:sz="4" w:space="0"/>
      </w:tblBorders>
    </w:tblPr>
    <w:tblStylePr w:type="firstRow">
      <w:rPr>
        <w:b/>
        <w:bCs/>
      </w:rPr>
      <w:tcPr>
        <w:tcBorders>
          <w:bottom w:val="single" w:color="008ED3" w:themeColor="text1" w:sz="4" w:space="0"/>
        </w:tcBorders>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paragraph" w:customStyle="1" w:styleId="30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05">
    <w:name w:val="列出段落1"/>
    <w:basedOn w:val="1"/>
    <w:semiHidden/>
    <w:qFormat/>
    <w:uiPriority w:val="0"/>
    <w:pPr>
      <w:spacing w:before="100" w:beforeAutospacing="1" w:line="256" w:lineRule="auto"/>
      <w:ind w:firstLine="420" w:firstLineChars="200"/>
    </w:pPr>
    <w:rPr>
      <w:rFonts w:eastAsia="宋体"/>
      <w:szCs w:val="21"/>
    </w:rPr>
  </w:style>
  <w:style w:type="table" w:customStyle="1" w:styleId="306">
    <w:name w:val="网格表 4 - 着色 51"/>
    <w:basedOn w:val="56"/>
    <w:qFormat/>
    <w:uiPriority w:val="0"/>
    <w:rPr>
      <w:rFonts w:eastAsia="Times New Roman"/>
    </w:rPr>
    <w:tblPr>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Pr>
    <w:tblStylePr w:type="firstRow">
      <w:rPr>
        <w:rFonts w:hint="default" w:ascii="Times New Roman" w:hAnsi="Times New Roman" w:cs="Times New Roman"/>
        <w:b/>
        <w:bCs/>
        <w:color w:val="FFFFFF"/>
      </w:rPr>
      <w:tcPr>
        <w:tcBorders>
          <w:top w:val="single" w:color="8DC642" w:sz="4" w:space="0"/>
          <w:left w:val="single" w:color="8DC642" w:sz="4" w:space="0"/>
          <w:bottom w:val="single" w:color="8DC642" w:sz="4" w:space="0"/>
          <w:right w:val="single" w:color="8DC642" w:sz="4" w:space="0"/>
          <w:insideH w:val="nil"/>
          <w:insideV w:val="nil"/>
        </w:tcBorders>
        <w:shd w:val="clear" w:color="auto" w:fill="8DC642"/>
      </w:tcPr>
    </w:tblStylePr>
    <w:tblStylePr w:type="lastRow">
      <w:rPr>
        <w:rFonts w:hint="default" w:ascii="Times New Roman" w:hAnsi="Times New Roman" w:cs="Times New Roman"/>
        <w:b/>
        <w:bCs/>
      </w:rPr>
      <w:tcPr>
        <w:tcBorders>
          <w:top w:val="double" w:color="8DC642" w:sz="2"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tcPr>
        <w:shd w:val="clear" w:color="auto" w:fill="E8F3D9"/>
      </w:tcPr>
    </w:tblStylePr>
    <w:tblStylePr w:type="band1Horz">
      <w:tcPr>
        <w:shd w:val="clear" w:color="auto" w:fill="E8F3D9"/>
      </w:tc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F48645-FD4D-4884-AB22-F1CD3AD58FA6}">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5</Pages>
  <Words>1424</Words>
  <Characters>8119</Characters>
  <Lines>67</Lines>
  <Paragraphs>19</Paragraphs>
  <TotalTime>3</TotalTime>
  <ScaleCrop>false</ScaleCrop>
  <LinksUpToDate>false</LinksUpToDate>
  <CharactersWithSpaces>9524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2022-11-03T12:00:00Z</dcterms:created>
  <dc:creator>10033860</dc:creator>
  <cp:lastModifiedBy>RAN2#121bis-e</cp:lastModifiedBy>
  <cp:lastPrinted>2113-01-01T00:00:00Z</cp:lastPrinted>
  <dcterms:modified xsi:type="dcterms:W3CDTF">2023-04-06T11:28:01Z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